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1890"/>
      </w:tblGrid>
      <w:tr w:rsidR="009D5ED9" w:rsidRPr="009C12C4" w:rsidTr="009C12C4">
        <w:tc>
          <w:tcPr>
            <w:tcW w:w="3870" w:type="dxa"/>
          </w:tcPr>
          <w:p w:rsidR="009D5ED9" w:rsidRPr="009C12C4" w:rsidRDefault="000B5681" w:rsidP="009C12C4">
            <w:pPr>
              <w:rPr>
                <w:rFonts w:cs="Arial"/>
                <w:szCs w:val="24"/>
              </w:rPr>
            </w:pPr>
            <w:r w:rsidRPr="009C12C4">
              <w:rPr>
                <w:rFonts w:cs="Arial"/>
                <w:szCs w:val="24"/>
              </w:rPr>
              <w:t>Part 1</w:t>
            </w:r>
            <w:r w:rsidR="00EC253B">
              <w:rPr>
                <w:rFonts w:cs="Arial"/>
                <w:szCs w:val="24"/>
              </w:rPr>
              <w:t>Open to the public</w:t>
            </w:r>
          </w:p>
        </w:tc>
        <w:tc>
          <w:tcPr>
            <w:tcW w:w="1890" w:type="dxa"/>
          </w:tcPr>
          <w:p w:rsidR="009D5ED9" w:rsidRPr="009C12C4" w:rsidRDefault="009D5ED9" w:rsidP="009C12C4">
            <w:pPr>
              <w:rPr>
                <w:rFonts w:cs="Arial"/>
                <w:szCs w:val="24"/>
              </w:rPr>
            </w:pPr>
          </w:p>
          <w:p w:rsidR="009D5ED9" w:rsidRPr="007B19FE" w:rsidRDefault="009D5ED9" w:rsidP="009C12C4">
            <w:pPr>
              <w:rPr>
                <w:rFonts w:cs="Arial"/>
                <w:b/>
                <w:szCs w:val="24"/>
              </w:rPr>
            </w:pPr>
            <w:r w:rsidRPr="009C12C4">
              <w:rPr>
                <w:rFonts w:cs="Arial"/>
                <w:szCs w:val="24"/>
              </w:rPr>
              <w:t>ITEM NO.</w:t>
            </w:r>
            <w:r w:rsidR="00EC253B">
              <w:rPr>
                <w:rFonts w:cs="Arial"/>
                <w:szCs w:val="24"/>
              </w:rPr>
              <w:t>8</w:t>
            </w:r>
          </w:p>
          <w:p w:rsidR="009D5ED9" w:rsidRPr="009C12C4" w:rsidRDefault="009D5ED9" w:rsidP="009C12C4">
            <w:pPr>
              <w:rPr>
                <w:rFonts w:cs="Arial"/>
                <w:szCs w:val="24"/>
              </w:rPr>
            </w:pPr>
          </w:p>
        </w:tc>
      </w:tr>
    </w:tbl>
    <w:p w:rsidR="009D5ED9" w:rsidRPr="001E245B" w:rsidRDefault="009D5ED9" w:rsidP="001E245B">
      <w:pPr>
        <w:tabs>
          <w:tab w:val="right" w:leader="underscore" w:pos="9216"/>
        </w:tabs>
        <w:rPr>
          <w:rFonts w:cs="Arial"/>
          <w:szCs w:val="24"/>
        </w:rPr>
      </w:pPr>
    </w:p>
    <w:p w:rsidR="009D5ED9" w:rsidRPr="001E245B" w:rsidRDefault="009D5ED9" w:rsidP="001E245B">
      <w:pPr>
        <w:tabs>
          <w:tab w:val="right" w:leader="underscore" w:pos="9072"/>
        </w:tabs>
        <w:rPr>
          <w:rFonts w:cs="Arial"/>
          <w:szCs w:val="24"/>
        </w:rPr>
      </w:pPr>
      <w:r w:rsidRPr="001E245B">
        <w:rPr>
          <w:rFonts w:cs="Arial"/>
          <w:szCs w:val="24"/>
        </w:rPr>
        <w:tab/>
      </w:r>
    </w:p>
    <w:p w:rsidR="009D5ED9" w:rsidRPr="001E245B" w:rsidRDefault="009D5ED9" w:rsidP="001E245B">
      <w:pPr>
        <w:tabs>
          <w:tab w:val="right" w:leader="underscore" w:pos="9072"/>
        </w:tabs>
        <w:rPr>
          <w:rFonts w:cs="Arial"/>
          <w:szCs w:val="24"/>
        </w:rPr>
      </w:pPr>
    </w:p>
    <w:p w:rsidR="009D5ED9" w:rsidRPr="001E245B" w:rsidRDefault="00FA5E49" w:rsidP="0083683B">
      <w:pPr>
        <w:tabs>
          <w:tab w:val="right" w:leader="underscore" w:pos="9072"/>
        </w:tabs>
        <w:jc w:val="center"/>
        <w:rPr>
          <w:rFonts w:cs="Arial"/>
          <w:szCs w:val="24"/>
        </w:rPr>
      </w:pPr>
      <w:r>
        <w:rPr>
          <w:rFonts w:cs="Arial"/>
          <w:szCs w:val="24"/>
        </w:rPr>
        <w:t>Rep</w:t>
      </w:r>
      <w:r w:rsidR="00EC253B">
        <w:rPr>
          <w:rFonts w:cs="Arial"/>
          <w:szCs w:val="24"/>
        </w:rPr>
        <w:t xml:space="preserve">ort of the Assistant Mayor for </w:t>
      </w:r>
      <w:r>
        <w:rPr>
          <w:rFonts w:cs="Arial"/>
          <w:szCs w:val="24"/>
        </w:rPr>
        <w:t xml:space="preserve">Strategic Planning </w:t>
      </w:r>
    </w:p>
    <w:p w:rsidR="009D5ED9" w:rsidRPr="001E245B" w:rsidRDefault="009D5ED9" w:rsidP="001E245B">
      <w:pPr>
        <w:tabs>
          <w:tab w:val="right" w:leader="underscore" w:pos="9072"/>
        </w:tabs>
        <w:rPr>
          <w:rFonts w:cs="Arial"/>
          <w:szCs w:val="24"/>
        </w:rPr>
      </w:pPr>
      <w:r w:rsidRPr="001E245B">
        <w:rPr>
          <w:rFonts w:cs="Arial"/>
          <w:szCs w:val="24"/>
        </w:rPr>
        <w:tab/>
      </w:r>
    </w:p>
    <w:p w:rsidR="001318BD" w:rsidRDefault="001318BD" w:rsidP="001318BD">
      <w:pPr>
        <w:tabs>
          <w:tab w:val="right" w:leader="underscore" w:pos="9072"/>
        </w:tabs>
        <w:rPr>
          <w:rFonts w:cs="Arial"/>
          <w:szCs w:val="24"/>
        </w:rPr>
      </w:pPr>
    </w:p>
    <w:p w:rsidR="001E245B" w:rsidRPr="001E245B" w:rsidRDefault="009D5ED9" w:rsidP="00C05CD7">
      <w:pPr>
        <w:tabs>
          <w:tab w:val="right" w:leader="underscore" w:pos="9072"/>
        </w:tabs>
        <w:jc w:val="center"/>
        <w:rPr>
          <w:rFonts w:cs="Arial"/>
          <w:szCs w:val="24"/>
        </w:rPr>
      </w:pPr>
      <w:r w:rsidRPr="001E245B">
        <w:rPr>
          <w:rFonts w:cs="Arial"/>
          <w:szCs w:val="24"/>
        </w:rPr>
        <w:t>TO</w:t>
      </w:r>
      <w:r w:rsidR="00217DAA">
        <w:rPr>
          <w:rFonts w:cs="Arial"/>
          <w:szCs w:val="24"/>
        </w:rPr>
        <w:t xml:space="preserve"> </w:t>
      </w:r>
      <w:r w:rsidR="0067004F">
        <w:rPr>
          <w:rFonts w:cs="Arial"/>
          <w:szCs w:val="24"/>
        </w:rPr>
        <w:t xml:space="preserve">COUNCIL ON </w:t>
      </w:r>
      <w:r w:rsidR="00053C08">
        <w:rPr>
          <w:rFonts w:cs="Arial"/>
          <w:szCs w:val="24"/>
        </w:rPr>
        <w:t>18 JULY</w:t>
      </w:r>
      <w:r w:rsidR="00F57EC6">
        <w:rPr>
          <w:rFonts w:cs="Arial"/>
          <w:szCs w:val="24"/>
        </w:rPr>
        <w:t xml:space="preserve"> 2012 </w:t>
      </w:r>
    </w:p>
    <w:p w:rsidR="009D5ED9" w:rsidRPr="001E245B" w:rsidRDefault="009D5ED9" w:rsidP="001E245B">
      <w:pPr>
        <w:tabs>
          <w:tab w:val="right" w:leader="underscore" w:pos="9072"/>
        </w:tabs>
        <w:rPr>
          <w:rFonts w:cs="Arial"/>
          <w:szCs w:val="24"/>
        </w:rPr>
      </w:pPr>
      <w:r w:rsidRPr="001E245B">
        <w:rPr>
          <w:rFonts w:cs="Arial"/>
          <w:szCs w:val="24"/>
        </w:rPr>
        <w:tab/>
      </w:r>
    </w:p>
    <w:p w:rsidR="009D5ED9" w:rsidRPr="00882C02" w:rsidRDefault="009D5ED9" w:rsidP="001E245B">
      <w:pPr>
        <w:tabs>
          <w:tab w:val="right" w:leader="underscore" w:pos="9072"/>
        </w:tabs>
        <w:rPr>
          <w:rFonts w:cs="Arial"/>
          <w:szCs w:val="24"/>
        </w:rPr>
      </w:pPr>
    </w:p>
    <w:p w:rsidR="0067004F" w:rsidRDefault="009D5ED9" w:rsidP="005522AD">
      <w:pPr>
        <w:tabs>
          <w:tab w:val="left" w:pos="900"/>
          <w:tab w:val="right" w:leader="underscore" w:pos="9072"/>
        </w:tabs>
        <w:ind w:left="993" w:hanging="993"/>
        <w:rPr>
          <w:rFonts w:cs="Arial"/>
          <w:szCs w:val="24"/>
        </w:rPr>
      </w:pPr>
      <w:r w:rsidRPr="00882C02">
        <w:rPr>
          <w:rFonts w:cs="Arial"/>
          <w:szCs w:val="24"/>
        </w:rPr>
        <w:t>TITLE:</w:t>
      </w:r>
      <w:r w:rsidR="00695042" w:rsidRPr="00882C02">
        <w:rPr>
          <w:rFonts w:cs="Arial"/>
          <w:szCs w:val="24"/>
        </w:rPr>
        <w:tab/>
      </w:r>
      <w:r w:rsidR="00053C08" w:rsidRPr="00053C08">
        <w:rPr>
          <w:rFonts w:cs="Arial"/>
          <w:szCs w:val="24"/>
        </w:rPr>
        <w:t>GREATER MANCHESTER JOINT MINERALS DEVELOPMENT PLAN DOCUMENT (JMDPD): ADDITIONAL MAIN MODIFICATIONS</w:t>
      </w:r>
    </w:p>
    <w:p w:rsidR="009D5ED9" w:rsidRPr="00882C02" w:rsidRDefault="009D5ED9" w:rsidP="001E245B">
      <w:pPr>
        <w:tabs>
          <w:tab w:val="right" w:leader="underscore" w:pos="9072"/>
        </w:tabs>
        <w:rPr>
          <w:rFonts w:cs="Arial"/>
          <w:szCs w:val="24"/>
        </w:rPr>
      </w:pPr>
      <w:r w:rsidRPr="00882C02">
        <w:rPr>
          <w:rFonts w:cs="Arial"/>
          <w:szCs w:val="24"/>
        </w:rPr>
        <w:tab/>
      </w:r>
    </w:p>
    <w:p w:rsidR="009D5ED9" w:rsidRPr="00882C02" w:rsidRDefault="009D5ED9" w:rsidP="001E245B">
      <w:pPr>
        <w:tabs>
          <w:tab w:val="right" w:leader="underscore" w:pos="9072"/>
        </w:tabs>
        <w:rPr>
          <w:rFonts w:cs="Arial"/>
          <w:szCs w:val="24"/>
        </w:rPr>
      </w:pPr>
    </w:p>
    <w:p w:rsidR="00882C02" w:rsidRDefault="009D5ED9" w:rsidP="001E245B">
      <w:pPr>
        <w:tabs>
          <w:tab w:val="left" w:pos="1080"/>
          <w:tab w:val="left" w:pos="2700"/>
          <w:tab w:val="right" w:leader="underscore" w:pos="9072"/>
        </w:tabs>
        <w:rPr>
          <w:rFonts w:cs="Arial"/>
          <w:szCs w:val="24"/>
        </w:rPr>
      </w:pPr>
      <w:r w:rsidRPr="00882C02">
        <w:rPr>
          <w:rFonts w:cs="Arial"/>
          <w:szCs w:val="24"/>
        </w:rPr>
        <w:t>RECOMMENDATION</w:t>
      </w:r>
      <w:r w:rsidR="00B76A77" w:rsidRPr="00882C02">
        <w:rPr>
          <w:rFonts w:cs="Arial"/>
          <w:szCs w:val="24"/>
        </w:rPr>
        <w:t>S</w:t>
      </w:r>
      <w:r w:rsidRPr="00882C02">
        <w:rPr>
          <w:rFonts w:cs="Arial"/>
          <w:szCs w:val="24"/>
        </w:rPr>
        <w:t>:</w:t>
      </w:r>
    </w:p>
    <w:p w:rsidR="00524615" w:rsidRDefault="00524615" w:rsidP="001E245B">
      <w:pPr>
        <w:tabs>
          <w:tab w:val="left" w:pos="1080"/>
          <w:tab w:val="left" w:pos="2700"/>
          <w:tab w:val="right" w:leader="underscore" w:pos="9072"/>
        </w:tabs>
        <w:rPr>
          <w:rFonts w:cs="Arial"/>
          <w:szCs w:val="24"/>
        </w:rPr>
      </w:pPr>
    </w:p>
    <w:p w:rsidR="00882C02" w:rsidRDefault="008A2715" w:rsidP="001E245B">
      <w:pPr>
        <w:tabs>
          <w:tab w:val="left" w:pos="1080"/>
          <w:tab w:val="left" w:pos="2700"/>
          <w:tab w:val="right" w:leader="underscore" w:pos="9072"/>
        </w:tabs>
        <w:rPr>
          <w:rFonts w:cs="Arial"/>
          <w:szCs w:val="24"/>
        </w:rPr>
      </w:pPr>
      <w:r>
        <w:rPr>
          <w:rFonts w:cs="Arial"/>
          <w:szCs w:val="24"/>
        </w:rPr>
        <w:t>It is recommended that Council</w:t>
      </w:r>
      <w:r w:rsidR="002F19B1">
        <w:rPr>
          <w:rFonts w:cs="Arial"/>
          <w:szCs w:val="24"/>
        </w:rPr>
        <w:t xml:space="preserve">: </w:t>
      </w:r>
    </w:p>
    <w:p w:rsidR="00053C08" w:rsidRDefault="00053C08" w:rsidP="009D3160">
      <w:pPr>
        <w:numPr>
          <w:ilvl w:val="0"/>
          <w:numId w:val="25"/>
        </w:numPr>
        <w:tabs>
          <w:tab w:val="right" w:leader="underscore" w:pos="9072"/>
        </w:tabs>
        <w:rPr>
          <w:rFonts w:cs="Arial"/>
        </w:rPr>
      </w:pPr>
      <w:r w:rsidRPr="006A6EFC">
        <w:rPr>
          <w:rFonts w:cs="Arial"/>
        </w:rPr>
        <w:t xml:space="preserve">Approve </w:t>
      </w:r>
      <w:r>
        <w:rPr>
          <w:rFonts w:cs="Arial"/>
        </w:rPr>
        <w:t>the Main Modifications to the Joint Minerals Development Plan Document and subsequent period of public consultation; and</w:t>
      </w:r>
    </w:p>
    <w:p w:rsidR="00053C08" w:rsidRPr="00053C08" w:rsidRDefault="00053C08" w:rsidP="009D3160">
      <w:pPr>
        <w:numPr>
          <w:ilvl w:val="0"/>
          <w:numId w:val="25"/>
        </w:numPr>
        <w:rPr>
          <w:rFonts w:cs="Arial"/>
          <w:szCs w:val="24"/>
        </w:rPr>
      </w:pPr>
      <w:r>
        <w:rPr>
          <w:rFonts w:cs="Arial"/>
        </w:rPr>
        <w:t>Note the additional minor modifications</w:t>
      </w:r>
    </w:p>
    <w:p w:rsidR="009D5ED9" w:rsidRPr="00E9154E" w:rsidRDefault="009D5ED9" w:rsidP="00882C02">
      <w:pPr>
        <w:tabs>
          <w:tab w:val="right" w:leader="underscore" w:pos="9072"/>
        </w:tabs>
        <w:rPr>
          <w:rFonts w:cs="Arial"/>
          <w:szCs w:val="24"/>
        </w:rPr>
      </w:pPr>
      <w:r w:rsidRPr="00E9154E">
        <w:rPr>
          <w:rFonts w:cs="Arial"/>
          <w:szCs w:val="24"/>
        </w:rPr>
        <w:tab/>
      </w:r>
    </w:p>
    <w:p w:rsidR="009D5ED9" w:rsidRPr="008241FC" w:rsidRDefault="009D5ED9" w:rsidP="001E245B">
      <w:pPr>
        <w:tabs>
          <w:tab w:val="right" w:leader="underscore" w:pos="9072"/>
        </w:tabs>
        <w:rPr>
          <w:rFonts w:cs="Arial"/>
          <w:szCs w:val="24"/>
        </w:rPr>
      </w:pPr>
    </w:p>
    <w:p w:rsidR="008E35EC" w:rsidRDefault="009D5ED9" w:rsidP="001E245B">
      <w:pPr>
        <w:tabs>
          <w:tab w:val="left" w:pos="3060"/>
          <w:tab w:val="right" w:leader="underscore" w:pos="9072"/>
        </w:tabs>
        <w:rPr>
          <w:szCs w:val="24"/>
        </w:rPr>
      </w:pPr>
      <w:r w:rsidRPr="008241FC">
        <w:rPr>
          <w:rFonts w:cs="Arial"/>
          <w:szCs w:val="24"/>
        </w:rPr>
        <w:t>EXECUTIVE SUMMARY:</w:t>
      </w:r>
      <w:r w:rsidR="008241FC" w:rsidRPr="008241FC">
        <w:rPr>
          <w:szCs w:val="24"/>
        </w:rPr>
        <w:t xml:space="preserve"> </w:t>
      </w:r>
    </w:p>
    <w:p w:rsidR="00657C67" w:rsidRDefault="00657C67" w:rsidP="001E245B">
      <w:pPr>
        <w:tabs>
          <w:tab w:val="right" w:leader="underscore" w:pos="9072"/>
        </w:tabs>
        <w:rPr>
          <w:rFonts w:cs="Arial"/>
          <w:szCs w:val="24"/>
        </w:rPr>
      </w:pPr>
    </w:p>
    <w:p w:rsidR="00053C08" w:rsidRDefault="00053C08" w:rsidP="00053C08">
      <w:pPr>
        <w:rPr>
          <w:rFonts w:cs="Arial"/>
        </w:rPr>
      </w:pPr>
      <w:r w:rsidRPr="00631734">
        <w:rPr>
          <w:rFonts w:cs="Arial"/>
        </w:rPr>
        <w:t xml:space="preserve">In </w:t>
      </w:r>
      <w:r>
        <w:rPr>
          <w:rFonts w:cs="Arial"/>
        </w:rPr>
        <w:t xml:space="preserve">November 2009 the ten Greater Manchester Authorities agreed to produce a joint Development Plan Document (DPD) covering minerals issues in Greater Manchester (the Minerals Plan).  Since then the document has undergone a series of consultations to identify locations for future minerals development and to develop a suite of minerals planning policies.  </w:t>
      </w:r>
    </w:p>
    <w:p w:rsidR="00053C08" w:rsidRDefault="00053C08" w:rsidP="00053C08">
      <w:pPr>
        <w:rPr>
          <w:rFonts w:cs="Arial"/>
        </w:rPr>
      </w:pPr>
    </w:p>
    <w:p w:rsidR="00053C08" w:rsidRDefault="00053C08" w:rsidP="00053C08">
      <w:pPr>
        <w:rPr>
          <w:rFonts w:cs="Arial"/>
        </w:rPr>
      </w:pPr>
      <w:r>
        <w:rPr>
          <w:rFonts w:cs="Arial"/>
        </w:rPr>
        <w:t xml:space="preserve">The Plan was </w:t>
      </w:r>
      <w:r w:rsidR="001318BD">
        <w:rPr>
          <w:rFonts w:cs="Arial"/>
        </w:rPr>
        <w:t>p</w:t>
      </w:r>
      <w:r>
        <w:rPr>
          <w:rFonts w:cs="Arial"/>
        </w:rPr>
        <w:t xml:space="preserve">ublished </w:t>
      </w:r>
      <w:proofErr w:type="gramStart"/>
      <w:r>
        <w:rPr>
          <w:rFonts w:cs="Arial"/>
        </w:rPr>
        <w:t>between 22</w:t>
      </w:r>
      <w:r w:rsidRPr="00DA4E43">
        <w:rPr>
          <w:rFonts w:cs="Arial"/>
          <w:vertAlign w:val="superscript"/>
        </w:rPr>
        <w:t>nd</w:t>
      </w:r>
      <w:r>
        <w:rPr>
          <w:rFonts w:cs="Arial"/>
        </w:rPr>
        <w:t xml:space="preserve"> July until the 2</w:t>
      </w:r>
      <w:r w:rsidRPr="00DA4E43">
        <w:rPr>
          <w:rFonts w:cs="Arial"/>
          <w:vertAlign w:val="superscript"/>
        </w:rPr>
        <w:t>nd</w:t>
      </w:r>
      <w:r>
        <w:rPr>
          <w:rFonts w:cs="Arial"/>
        </w:rPr>
        <w:t xml:space="preserve"> September 2011</w:t>
      </w:r>
      <w:proofErr w:type="gramEnd"/>
      <w:r>
        <w:rPr>
          <w:rFonts w:cs="Arial"/>
        </w:rPr>
        <w:t xml:space="preserve"> then </w:t>
      </w:r>
      <w:r w:rsidR="001318BD">
        <w:rPr>
          <w:rFonts w:cs="Arial"/>
        </w:rPr>
        <w:t>s</w:t>
      </w:r>
      <w:r>
        <w:rPr>
          <w:rFonts w:cs="Arial"/>
        </w:rPr>
        <w:t>ubmitted to the Secretary of State on the 11</w:t>
      </w:r>
      <w:r w:rsidRPr="00DA4E43">
        <w:rPr>
          <w:rFonts w:cs="Arial"/>
          <w:vertAlign w:val="superscript"/>
        </w:rPr>
        <w:t>th</w:t>
      </w:r>
      <w:r>
        <w:rPr>
          <w:rFonts w:cs="Arial"/>
        </w:rPr>
        <w:t xml:space="preserve"> November 2011 for its Public Examination before an independent inspector.  The purpose of this examination is to assess the soundness of the plan and whether its preparation has complied with legal processes.  Hearing sessions commenced on Wednesday 22nd February 2012 and have been adjourned following the close of the session on Thursday 23</w:t>
      </w:r>
      <w:r w:rsidRPr="002C3AE1">
        <w:rPr>
          <w:rFonts w:cs="Arial"/>
          <w:vertAlign w:val="superscript"/>
        </w:rPr>
        <w:t>rd</w:t>
      </w:r>
      <w:r>
        <w:rPr>
          <w:rFonts w:cs="Arial"/>
        </w:rPr>
        <w:t xml:space="preserve"> February.</w:t>
      </w:r>
    </w:p>
    <w:p w:rsidR="00053C08" w:rsidRDefault="00053C08" w:rsidP="00053C08">
      <w:pPr>
        <w:rPr>
          <w:rFonts w:cs="Arial"/>
        </w:rPr>
      </w:pPr>
    </w:p>
    <w:p w:rsidR="00053C08" w:rsidRDefault="00053C08" w:rsidP="00053C08">
      <w:pPr>
        <w:rPr>
          <w:rFonts w:cs="Arial"/>
        </w:rPr>
      </w:pPr>
      <w:r>
        <w:rPr>
          <w:rFonts w:cs="Arial"/>
        </w:rPr>
        <w:t xml:space="preserve">The adjournment is required to allow public consultation to take place on proposed Main Modifications to the Plan which were identified during the hearing sessions.  Since approval of these Main Modifications is required by the Full Council of each of the 10 districts this cannot take place </w:t>
      </w:r>
      <w:r w:rsidR="001318BD">
        <w:rPr>
          <w:rFonts w:cs="Arial"/>
        </w:rPr>
        <w:t>un</w:t>
      </w:r>
      <w:r>
        <w:rPr>
          <w:rFonts w:cs="Arial"/>
        </w:rPr>
        <w:t>til the last GM council has approved them.  At this stage consultation is likely to take place during August and September.  Following the close of this consultation, the Inspector will need to consider any representations received and this may require a further hearing session which has been planned for early October 2012.</w:t>
      </w:r>
    </w:p>
    <w:p w:rsidR="009D5ED9" w:rsidRPr="00E9154E" w:rsidRDefault="009D5ED9" w:rsidP="001E245B">
      <w:pPr>
        <w:tabs>
          <w:tab w:val="right" w:leader="underscore" w:pos="9072"/>
        </w:tabs>
        <w:rPr>
          <w:rFonts w:cs="Arial"/>
          <w:szCs w:val="24"/>
        </w:rPr>
      </w:pPr>
      <w:r w:rsidRPr="00E9154E">
        <w:rPr>
          <w:rFonts w:cs="Arial"/>
          <w:szCs w:val="24"/>
        </w:rPr>
        <w:tab/>
      </w:r>
    </w:p>
    <w:p w:rsidR="009D5ED9" w:rsidRPr="00E9154E" w:rsidRDefault="009D5ED9" w:rsidP="001E245B">
      <w:pPr>
        <w:tabs>
          <w:tab w:val="right" w:leader="underscore" w:pos="9072"/>
        </w:tabs>
        <w:rPr>
          <w:rFonts w:cs="Arial"/>
          <w:szCs w:val="24"/>
        </w:rPr>
      </w:pPr>
    </w:p>
    <w:p w:rsidR="00BE18D8" w:rsidRDefault="009D5ED9" w:rsidP="001E245B">
      <w:pPr>
        <w:tabs>
          <w:tab w:val="left" w:pos="3690"/>
          <w:tab w:val="right" w:leader="underscore" w:pos="9072"/>
        </w:tabs>
        <w:rPr>
          <w:rFonts w:cs="Arial"/>
          <w:szCs w:val="24"/>
        </w:rPr>
      </w:pPr>
      <w:r w:rsidRPr="009D3160">
        <w:rPr>
          <w:rFonts w:cs="Arial"/>
          <w:szCs w:val="24"/>
        </w:rPr>
        <w:t>BACKGROUND DOCUMENTS:</w:t>
      </w:r>
      <w:r w:rsidR="00E9154E" w:rsidRPr="009D3160">
        <w:rPr>
          <w:rFonts w:cs="Arial"/>
          <w:szCs w:val="24"/>
        </w:rPr>
        <w:t xml:space="preserve"> </w:t>
      </w:r>
    </w:p>
    <w:p w:rsidR="00524615" w:rsidRDefault="00BE18D8" w:rsidP="00BE18D8">
      <w:pPr>
        <w:numPr>
          <w:ilvl w:val="0"/>
          <w:numId w:val="49"/>
        </w:numPr>
        <w:tabs>
          <w:tab w:val="left" w:pos="3690"/>
          <w:tab w:val="right" w:leader="underscore" w:pos="9072"/>
        </w:tabs>
        <w:rPr>
          <w:rFonts w:cs="Arial"/>
          <w:szCs w:val="24"/>
        </w:rPr>
      </w:pPr>
      <w:r>
        <w:rPr>
          <w:rFonts w:cs="Arial"/>
          <w:szCs w:val="24"/>
        </w:rPr>
        <w:lastRenderedPageBreak/>
        <w:t>Greater Manchester Joint Minerals Plan Development Plan Document: Submitted for Examination November 2011</w:t>
      </w:r>
    </w:p>
    <w:p w:rsidR="00BE18D8" w:rsidRDefault="00BE18D8" w:rsidP="00BE18D8">
      <w:pPr>
        <w:numPr>
          <w:ilvl w:val="0"/>
          <w:numId w:val="49"/>
        </w:numPr>
        <w:tabs>
          <w:tab w:val="left" w:pos="3690"/>
          <w:tab w:val="right" w:leader="underscore" w:pos="9072"/>
        </w:tabs>
        <w:rPr>
          <w:rFonts w:cs="Arial"/>
          <w:szCs w:val="24"/>
        </w:rPr>
      </w:pPr>
      <w:r>
        <w:rPr>
          <w:rFonts w:cs="Arial"/>
          <w:szCs w:val="24"/>
        </w:rPr>
        <w:t>National Planning Policy Framework</w:t>
      </w:r>
    </w:p>
    <w:p w:rsidR="00BE18D8" w:rsidRDefault="00BE18D8" w:rsidP="00BE18D8">
      <w:pPr>
        <w:numPr>
          <w:ilvl w:val="0"/>
          <w:numId w:val="49"/>
        </w:numPr>
        <w:tabs>
          <w:tab w:val="left" w:pos="3690"/>
          <w:tab w:val="right" w:leader="underscore" w:pos="9072"/>
        </w:tabs>
        <w:rPr>
          <w:rFonts w:cs="Arial"/>
          <w:szCs w:val="24"/>
        </w:rPr>
      </w:pPr>
      <w:r>
        <w:rPr>
          <w:rFonts w:cs="Arial"/>
          <w:szCs w:val="24"/>
        </w:rPr>
        <w:t>Sustainability Appraisal of the Joint Minerals Plan Development Plan Document</w:t>
      </w:r>
    </w:p>
    <w:p w:rsidR="00BE18D8" w:rsidRDefault="00BE18D8" w:rsidP="00BE18D8">
      <w:pPr>
        <w:numPr>
          <w:ilvl w:val="0"/>
          <w:numId w:val="49"/>
        </w:numPr>
        <w:tabs>
          <w:tab w:val="left" w:pos="3690"/>
          <w:tab w:val="right" w:leader="underscore" w:pos="9072"/>
        </w:tabs>
        <w:rPr>
          <w:rFonts w:cs="Arial"/>
          <w:szCs w:val="24"/>
        </w:rPr>
      </w:pPr>
      <w:r>
        <w:rPr>
          <w:rFonts w:cs="Arial"/>
          <w:szCs w:val="24"/>
        </w:rPr>
        <w:t>Habitats Regulations Assessment of the Joint Minerals Plan Development Plan Document</w:t>
      </w:r>
    </w:p>
    <w:p w:rsidR="00BE18D8" w:rsidRPr="00E9154E" w:rsidRDefault="00BE18D8" w:rsidP="001E245B">
      <w:pPr>
        <w:tabs>
          <w:tab w:val="left" w:pos="3690"/>
          <w:tab w:val="right" w:leader="underscore" w:pos="9072"/>
        </w:tabs>
        <w:rPr>
          <w:rFonts w:cs="Arial"/>
          <w:szCs w:val="24"/>
        </w:rPr>
      </w:pPr>
    </w:p>
    <w:p w:rsidR="00695042" w:rsidRDefault="009D5ED9" w:rsidP="001E245B">
      <w:pPr>
        <w:tabs>
          <w:tab w:val="left" w:pos="4320"/>
          <w:tab w:val="right" w:leader="underscore" w:pos="9072"/>
        </w:tabs>
        <w:rPr>
          <w:rFonts w:cs="Arial"/>
          <w:szCs w:val="24"/>
        </w:rPr>
      </w:pPr>
      <w:r w:rsidRPr="00E9154E">
        <w:rPr>
          <w:rFonts w:cs="Arial"/>
          <w:szCs w:val="24"/>
        </w:rPr>
        <w:t>(Available for public inspection)</w:t>
      </w:r>
    </w:p>
    <w:p w:rsidR="009D5ED9" w:rsidRPr="00E9154E" w:rsidRDefault="009D5ED9" w:rsidP="001E245B">
      <w:pPr>
        <w:tabs>
          <w:tab w:val="right" w:leader="underscore" w:pos="9072"/>
        </w:tabs>
        <w:rPr>
          <w:rFonts w:cs="Arial"/>
          <w:szCs w:val="24"/>
        </w:rPr>
      </w:pPr>
      <w:r w:rsidRPr="00E9154E">
        <w:rPr>
          <w:rFonts w:cs="Arial"/>
          <w:szCs w:val="24"/>
        </w:rPr>
        <w:tab/>
      </w:r>
    </w:p>
    <w:p w:rsidR="009D5ED9" w:rsidRPr="00F57EC6" w:rsidRDefault="009D5ED9" w:rsidP="001E245B">
      <w:pPr>
        <w:tabs>
          <w:tab w:val="right" w:leader="underscore" w:pos="9072"/>
        </w:tabs>
        <w:rPr>
          <w:rFonts w:cs="Arial"/>
          <w:color w:val="3366FF"/>
          <w:szCs w:val="24"/>
        </w:rPr>
      </w:pPr>
    </w:p>
    <w:p w:rsidR="00E45E23" w:rsidRDefault="009D5ED9" w:rsidP="001E245B">
      <w:pPr>
        <w:tabs>
          <w:tab w:val="left" w:pos="2250"/>
          <w:tab w:val="right" w:leader="underscore" w:pos="9072"/>
        </w:tabs>
        <w:rPr>
          <w:rFonts w:cs="Arial"/>
          <w:szCs w:val="24"/>
        </w:rPr>
      </w:pPr>
      <w:r w:rsidRPr="0076153C">
        <w:rPr>
          <w:rFonts w:cs="Arial"/>
          <w:szCs w:val="24"/>
        </w:rPr>
        <w:t xml:space="preserve">KEY </w:t>
      </w:r>
      <w:r w:rsidRPr="0082049C">
        <w:rPr>
          <w:rFonts w:cs="Arial"/>
          <w:szCs w:val="24"/>
        </w:rPr>
        <w:t>DECISION:</w:t>
      </w:r>
      <w:r w:rsidR="005E75D6">
        <w:rPr>
          <w:rFonts w:cs="Arial"/>
          <w:szCs w:val="24"/>
        </w:rPr>
        <w:tab/>
        <w:t>NO</w:t>
      </w:r>
    </w:p>
    <w:p w:rsidR="00E45E23" w:rsidRDefault="00E45E23" w:rsidP="001E245B">
      <w:pPr>
        <w:tabs>
          <w:tab w:val="left" w:pos="2250"/>
          <w:tab w:val="right" w:leader="underscore" w:pos="9072"/>
        </w:tabs>
        <w:rPr>
          <w:rFonts w:cs="Arial"/>
          <w:szCs w:val="24"/>
        </w:rPr>
      </w:pPr>
    </w:p>
    <w:p w:rsidR="009D5ED9" w:rsidRPr="0082049C" w:rsidRDefault="007271A3" w:rsidP="001E245B">
      <w:pPr>
        <w:tabs>
          <w:tab w:val="left" w:pos="2250"/>
          <w:tab w:val="right" w:leader="underscore" w:pos="9072"/>
        </w:tabs>
        <w:rPr>
          <w:rFonts w:cs="Arial"/>
          <w:szCs w:val="24"/>
        </w:rPr>
      </w:pPr>
      <w:r>
        <w:rPr>
          <w:rFonts w:cs="Arial"/>
          <w:szCs w:val="24"/>
        </w:rPr>
        <w:t xml:space="preserve">The Joint </w:t>
      </w:r>
      <w:r w:rsidR="00053C08">
        <w:rPr>
          <w:rFonts w:cs="Arial"/>
          <w:szCs w:val="24"/>
        </w:rPr>
        <w:t>Minerals</w:t>
      </w:r>
      <w:r>
        <w:rPr>
          <w:rFonts w:cs="Arial"/>
          <w:szCs w:val="24"/>
        </w:rPr>
        <w:t xml:space="preserve"> Development Plan will have implications for Salford at a citywide level and will therefore impact on two or more wards. Notwithstanding this, as the decision will be made by full Council it is not a Key Decision that needs to be published on the Forward Plan.</w:t>
      </w:r>
    </w:p>
    <w:p w:rsidR="005F1F8E" w:rsidRPr="0082049C" w:rsidRDefault="005F1F8E" w:rsidP="001E245B">
      <w:pPr>
        <w:tabs>
          <w:tab w:val="right" w:leader="underscore" w:pos="9072"/>
        </w:tabs>
        <w:rPr>
          <w:rFonts w:cs="Arial"/>
          <w:szCs w:val="24"/>
        </w:rPr>
      </w:pPr>
      <w:r w:rsidRPr="0082049C">
        <w:rPr>
          <w:rFonts w:cs="Arial"/>
          <w:szCs w:val="24"/>
        </w:rPr>
        <w:tab/>
      </w:r>
    </w:p>
    <w:p w:rsidR="003D6156" w:rsidRDefault="003D6156" w:rsidP="003D6156">
      <w:pPr>
        <w:tabs>
          <w:tab w:val="left" w:pos="709"/>
          <w:tab w:val="right" w:leader="underscore" w:pos="9072"/>
        </w:tabs>
        <w:rPr>
          <w:rFonts w:cs="Arial"/>
          <w:b/>
          <w:szCs w:val="24"/>
          <w:u w:val="single"/>
        </w:rPr>
      </w:pPr>
    </w:p>
    <w:p w:rsidR="007271A3" w:rsidRDefault="007271A3" w:rsidP="007271A3">
      <w:pPr>
        <w:tabs>
          <w:tab w:val="left" w:pos="1440"/>
          <w:tab w:val="right" w:leader="underscore" w:pos="9072"/>
        </w:tabs>
        <w:rPr>
          <w:rFonts w:cs="Arial"/>
          <w:szCs w:val="24"/>
        </w:rPr>
      </w:pPr>
      <w:r w:rsidRPr="001E245B">
        <w:rPr>
          <w:rFonts w:cs="Arial"/>
          <w:szCs w:val="24"/>
        </w:rPr>
        <w:t>DETAILS:</w:t>
      </w:r>
    </w:p>
    <w:p w:rsidR="007271A3" w:rsidRDefault="007271A3" w:rsidP="003D6156">
      <w:pPr>
        <w:tabs>
          <w:tab w:val="left" w:pos="709"/>
          <w:tab w:val="right" w:leader="underscore" w:pos="9072"/>
        </w:tabs>
        <w:rPr>
          <w:rFonts w:cs="Arial"/>
          <w:b/>
          <w:szCs w:val="24"/>
          <w:u w:val="single"/>
        </w:rPr>
      </w:pPr>
    </w:p>
    <w:p w:rsidR="00053C08" w:rsidRPr="009D3160" w:rsidRDefault="00657C67" w:rsidP="00730C24">
      <w:pPr>
        <w:pStyle w:val="Heading1"/>
        <w:ind w:left="0" w:firstLine="0"/>
        <w:rPr>
          <w:b/>
          <w:u w:val="none"/>
        </w:rPr>
      </w:pPr>
      <w:r w:rsidRPr="009D3160">
        <w:rPr>
          <w:rFonts w:cs="Arial"/>
          <w:b/>
          <w:szCs w:val="24"/>
          <w:u w:val="none"/>
        </w:rPr>
        <w:t xml:space="preserve">  </w:t>
      </w:r>
      <w:r w:rsidR="00053C08" w:rsidRPr="009D3160">
        <w:rPr>
          <w:b/>
          <w:u w:val="none"/>
        </w:rPr>
        <w:t>1</w:t>
      </w:r>
      <w:r w:rsidR="00053C08" w:rsidRPr="009D3160">
        <w:rPr>
          <w:b/>
          <w:u w:val="none"/>
        </w:rPr>
        <w:tab/>
      </w:r>
      <w:r w:rsidR="00730C24">
        <w:rPr>
          <w:b/>
          <w:u w:val="none"/>
        </w:rPr>
        <w:t>Purpose of the Report</w:t>
      </w:r>
    </w:p>
    <w:p w:rsidR="00053C08" w:rsidRDefault="00053C08" w:rsidP="00053C08">
      <w:pPr>
        <w:rPr>
          <w:rFonts w:cs="Arial"/>
        </w:rPr>
      </w:pPr>
    </w:p>
    <w:p w:rsidR="00053C08" w:rsidRDefault="00053C08" w:rsidP="00053C08">
      <w:pPr>
        <w:numPr>
          <w:ilvl w:val="1"/>
          <w:numId w:val="27"/>
        </w:numPr>
        <w:tabs>
          <w:tab w:val="clear" w:pos="360"/>
          <w:tab w:val="num" w:pos="720"/>
        </w:tabs>
        <w:ind w:left="720" w:hanging="720"/>
        <w:rPr>
          <w:rFonts w:cs="Arial"/>
        </w:rPr>
      </w:pPr>
      <w:r>
        <w:rPr>
          <w:rFonts w:cs="Arial"/>
        </w:rPr>
        <w:t>This report is to inform Members of the Main and additional Minor Modifications required to the Minerals Plan following Submission to Secretary of State and the Hearing Sessions held during February 2012.  It seeks full Council approval for the Main Modifications to the Plan to be made available for public consultation during August and September 2012.</w:t>
      </w:r>
    </w:p>
    <w:p w:rsidR="00053C08" w:rsidRDefault="00053C08" w:rsidP="00053C08">
      <w:pPr>
        <w:tabs>
          <w:tab w:val="left" w:pos="4815"/>
        </w:tabs>
        <w:rPr>
          <w:rFonts w:cs="Arial"/>
        </w:rPr>
      </w:pPr>
      <w:r>
        <w:rPr>
          <w:rFonts w:cs="Arial"/>
        </w:rPr>
        <w:tab/>
      </w:r>
    </w:p>
    <w:p w:rsidR="00053C08" w:rsidRDefault="00053C08" w:rsidP="00053C08">
      <w:pPr>
        <w:rPr>
          <w:rFonts w:cs="Arial"/>
          <w:b/>
          <w:bCs/>
        </w:rPr>
      </w:pPr>
      <w:r>
        <w:rPr>
          <w:rFonts w:cs="Arial"/>
          <w:b/>
          <w:bCs/>
        </w:rPr>
        <w:t>2</w:t>
      </w:r>
      <w:r>
        <w:rPr>
          <w:rFonts w:cs="Arial"/>
          <w:b/>
          <w:bCs/>
        </w:rPr>
        <w:tab/>
        <w:t>B</w:t>
      </w:r>
      <w:r w:rsidR="00730C24">
        <w:rPr>
          <w:rFonts w:cs="Arial"/>
          <w:b/>
          <w:bCs/>
        </w:rPr>
        <w:t>ackground</w:t>
      </w:r>
    </w:p>
    <w:p w:rsidR="00053C08" w:rsidRDefault="00053C08" w:rsidP="00053C08">
      <w:pPr>
        <w:rPr>
          <w:rFonts w:cs="Arial"/>
          <w:b/>
          <w:bCs/>
        </w:rPr>
      </w:pPr>
    </w:p>
    <w:p w:rsidR="00053C08" w:rsidRDefault="00053C08" w:rsidP="00053C08">
      <w:pPr>
        <w:numPr>
          <w:ilvl w:val="1"/>
          <w:numId w:val="26"/>
        </w:numPr>
        <w:tabs>
          <w:tab w:val="clear" w:pos="360"/>
          <w:tab w:val="num" w:pos="720"/>
        </w:tabs>
        <w:ind w:left="720" w:hanging="720"/>
        <w:rPr>
          <w:rFonts w:cs="Arial"/>
        </w:rPr>
      </w:pPr>
      <w:r>
        <w:rPr>
          <w:rFonts w:cs="Arial"/>
        </w:rPr>
        <w:t xml:space="preserve">The ten Districts constituting the Association of Greater Manchester Authorities (AGMA) agreed to produce a Joint Minerals Development Plan Document (JMDPD) in 2009.  The Minerals Plan was approved by </w:t>
      </w:r>
      <w:r w:rsidR="007570E8">
        <w:rPr>
          <w:rFonts w:cs="Arial"/>
        </w:rPr>
        <w:t>Salford City Council</w:t>
      </w:r>
      <w:r>
        <w:rPr>
          <w:rFonts w:cs="Arial"/>
        </w:rPr>
        <w:t xml:space="preserve"> in </w:t>
      </w:r>
      <w:r w:rsidR="007570E8">
        <w:rPr>
          <w:rFonts w:cs="Arial"/>
        </w:rPr>
        <w:t>May 2011</w:t>
      </w:r>
      <w:r>
        <w:rPr>
          <w:rFonts w:cs="Arial"/>
        </w:rPr>
        <w:t xml:space="preserve"> for Publication and Submission to Secretary of State.</w:t>
      </w:r>
    </w:p>
    <w:p w:rsidR="00053C08" w:rsidRDefault="00053C08" w:rsidP="00053C08">
      <w:pPr>
        <w:rPr>
          <w:rFonts w:cs="Arial"/>
        </w:rPr>
      </w:pPr>
    </w:p>
    <w:p w:rsidR="00053C08" w:rsidRDefault="00053C08" w:rsidP="00053C08">
      <w:pPr>
        <w:numPr>
          <w:ilvl w:val="1"/>
          <w:numId w:val="26"/>
        </w:numPr>
        <w:tabs>
          <w:tab w:val="clear" w:pos="360"/>
          <w:tab w:val="num" w:pos="720"/>
        </w:tabs>
        <w:ind w:left="720" w:hanging="720"/>
        <w:rPr>
          <w:rFonts w:cs="Arial"/>
        </w:rPr>
      </w:pPr>
      <w:r>
        <w:rPr>
          <w:rFonts w:cs="Arial"/>
        </w:rPr>
        <w:t>Once adopted, the Minerals Plan will provide a planning framework covering land-use planning matters in relation to minerals development for the Greater Manchester area.  The Plan will set out the policy approach to each mineral found here: construction aggregates; brick clay; natural building stone; coal; unconventional gas resources; and peat.  It will also include a set of development management polices which will assist in the consideration of planning applications relating to the working and winning of minerals.  In addition, the Minerals Plan will identify Areas of Search for future mineral development.  These are broad areas within which there may be particular sites that could meet any shortfall in future minerals supply.  It also sets out how Greater Manchester’s mineral resources will be protected from sterilisation through Mineral Safeguarding Areas.  The Areas of Search and Minerals Safeguarding Areas will also need to be added to each District’s Local Development Framework Proposals Map.</w:t>
      </w:r>
    </w:p>
    <w:p w:rsidR="00053C08" w:rsidRDefault="00053C08" w:rsidP="00053C08">
      <w:pPr>
        <w:rPr>
          <w:rFonts w:cs="Arial"/>
        </w:rPr>
      </w:pPr>
    </w:p>
    <w:p w:rsidR="00053C08" w:rsidRDefault="00053C08" w:rsidP="00053C08">
      <w:pPr>
        <w:numPr>
          <w:ilvl w:val="1"/>
          <w:numId w:val="26"/>
        </w:numPr>
        <w:tabs>
          <w:tab w:val="clear" w:pos="360"/>
          <w:tab w:val="num" w:pos="720"/>
        </w:tabs>
        <w:ind w:left="720" w:hanging="720"/>
        <w:rPr>
          <w:rFonts w:cs="Arial"/>
        </w:rPr>
      </w:pPr>
      <w:r>
        <w:rPr>
          <w:rFonts w:cs="Arial"/>
        </w:rPr>
        <w:lastRenderedPageBreak/>
        <w:t>Inspector Andrew Mead was appointed to undertake the Examination into the soundness of the Minerals Plan, and the Hearing sessions were held on the 22</w:t>
      </w:r>
      <w:r w:rsidRPr="00DC23B2">
        <w:rPr>
          <w:rFonts w:cs="Arial"/>
          <w:vertAlign w:val="superscript"/>
        </w:rPr>
        <w:t>nd</w:t>
      </w:r>
      <w:r>
        <w:rPr>
          <w:rFonts w:cs="Arial"/>
        </w:rPr>
        <w:t xml:space="preserve"> and 23</w:t>
      </w:r>
      <w:r w:rsidRPr="00DC23B2">
        <w:rPr>
          <w:rFonts w:cs="Arial"/>
          <w:vertAlign w:val="superscript"/>
        </w:rPr>
        <w:t>rd</w:t>
      </w:r>
      <w:r>
        <w:rPr>
          <w:rFonts w:cs="Arial"/>
        </w:rPr>
        <w:t xml:space="preserve"> of February 2012.  During the hearing sessions three changes were proposed which the Inspector has indicated constitute Main Modifications to the Plan</w:t>
      </w:r>
      <w:r w:rsidR="00D26A35">
        <w:rPr>
          <w:rFonts w:cs="Arial"/>
        </w:rPr>
        <w:t>.  The need for two further Main Modifications has arisen as a result of the publication of the National Planning Policy Framework on the 27</w:t>
      </w:r>
      <w:r w:rsidR="00D26A35" w:rsidRPr="00D26A35">
        <w:rPr>
          <w:rFonts w:cs="Arial"/>
          <w:vertAlign w:val="superscript"/>
        </w:rPr>
        <w:t>th</w:t>
      </w:r>
      <w:r w:rsidR="00D26A35">
        <w:rPr>
          <w:rFonts w:cs="Arial"/>
        </w:rPr>
        <w:t xml:space="preserve"> March 2012. </w:t>
      </w:r>
      <w:r>
        <w:rPr>
          <w:rFonts w:cs="Arial"/>
        </w:rPr>
        <w:t xml:space="preserve"> </w:t>
      </w:r>
      <w:r w:rsidR="00D26A35">
        <w:rPr>
          <w:rFonts w:cs="Arial"/>
        </w:rPr>
        <w:t xml:space="preserve">Approval </w:t>
      </w:r>
      <w:r>
        <w:rPr>
          <w:rFonts w:cs="Arial"/>
        </w:rPr>
        <w:t xml:space="preserve">for </w:t>
      </w:r>
      <w:r w:rsidR="00D26A35">
        <w:rPr>
          <w:rFonts w:cs="Arial"/>
        </w:rPr>
        <w:t xml:space="preserve">any </w:t>
      </w:r>
      <w:r>
        <w:rPr>
          <w:rFonts w:cs="Arial"/>
        </w:rPr>
        <w:t>changes</w:t>
      </w:r>
      <w:r w:rsidR="00D26A35">
        <w:rPr>
          <w:rFonts w:cs="Arial"/>
        </w:rPr>
        <w:t xml:space="preserve"> classed as Main Modifications</w:t>
      </w:r>
      <w:r>
        <w:rPr>
          <w:rFonts w:cs="Arial"/>
        </w:rPr>
        <w:t xml:space="preserve"> is required from each of the Full Councils in Greater Manchester.</w:t>
      </w:r>
    </w:p>
    <w:p w:rsidR="00053C08" w:rsidRDefault="00053C08" w:rsidP="00053C08">
      <w:pPr>
        <w:pStyle w:val="ListParagraph"/>
        <w:rPr>
          <w:rFonts w:ascii="Arial" w:hAnsi="Arial" w:cs="Arial"/>
        </w:rPr>
      </w:pPr>
    </w:p>
    <w:p w:rsidR="00053C08" w:rsidRDefault="00053C08" w:rsidP="00053C08">
      <w:pPr>
        <w:numPr>
          <w:ilvl w:val="1"/>
          <w:numId w:val="26"/>
        </w:numPr>
        <w:tabs>
          <w:tab w:val="clear" w:pos="360"/>
          <w:tab w:val="num" w:pos="720"/>
        </w:tabs>
        <w:ind w:left="720" w:hanging="720"/>
        <w:rPr>
          <w:rFonts w:cs="Arial"/>
        </w:rPr>
      </w:pPr>
      <w:r>
        <w:rPr>
          <w:rFonts w:cs="Arial"/>
        </w:rPr>
        <w:t>It is essential to note that these “Main Modifications” address matters that the Inspector considers raise soundness issues with the Plan.  Without these changes there is a real risk that the Inspector will be unable to recommend that the Plan is sound and authorities will not be able to adopt the plan.</w:t>
      </w:r>
    </w:p>
    <w:p w:rsidR="00730C24" w:rsidRDefault="00730C24" w:rsidP="00730C24">
      <w:pPr>
        <w:rPr>
          <w:rFonts w:cs="Arial"/>
        </w:rPr>
      </w:pPr>
    </w:p>
    <w:p w:rsidR="00730C24" w:rsidRDefault="00730C24" w:rsidP="00730C24">
      <w:pPr>
        <w:rPr>
          <w:rFonts w:cs="Arial"/>
        </w:rPr>
      </w:pPr>
      <w:r>
        <w:rPr>
          <w:rFonts w:cs="Arial"/>
          <w:b/>
        </w:rPr>
        <w:t>3</w:t>
      </w:r>
      <w:r>
        <w:rPr>
          <w:rFonts w:cs="Arial"/>
          <w:b/>
        </w:rPr>
        <w:tab/>
        <w:t>Main Modifications</w:t>
      </w:r>
    </w:p>
    <w:p w:rsidR="00730C24" w:rsidRPr="00730C24" w:rsidRDefault="00730C24" w:rsidP="00053C08">
      <w:pPr>
        <w:rPr>
          <w:rFonts w:cs="Arial"/>
          <w:b/>
        </w:rPr>
      </w:pPr>
    </w:p>
    <w:p w:rsidR="006C7E4D" w:rsidRDefault="00053C08" w:rsidP="00730C24">
      <w:pPr>
        <w:numPr>
          <w:ilvl w:val="1"/>
          <w:numId w:val="32"/>
        </w:numPr>
        <w:tabs>
          <w:tab w:val="clear" w:pos="360"/>
          <w:tab w:val="num" w:pos="709"/>
        </w:tabs>
        <w:ind w:left="709" w:hanging="709"/>
        <w:rPr>
          <w:rFonts w:cs="Arial"/>
        </w:rPr>
      </w:pPr>
      <w:r>
        <w:rPr>
          <w:rFonts w:cs="Arial"/>
        </w:rPr>
        <w:t xml:space="preserve">The Main Modifications proposed (listed in </w:t>
      </w:r>
      <w:r w:rsidR="00A84D2C">
        <w:rPr>
          <w:rFonts w:cs="Arial"/>
        </w:rPr>
        <w:t>Schedule</w:t>
      </w:r>
      <w:r w:rsidR="000C13DE">
        <w:rPr>
          <w:rFonts w:cs="Arial"/>
        </w:rPr>
        <w:t xml:space="preserve"> 1</w:t>
      </w:r>
      <w:r>
        <w:rPr>
          <w:rFonts w:cs="Arial"/>
        </w:rPr>
        <w:t xml:space="preserve">) relate to </w:t>
      </w:r>
      <w:r w:rsidRPr="00477387">
        <w:rPr>
          <w:rFonts w:cs="Arial"/>
        </w:rPr>
        <w:t>Policies 2, 7 and 12</w:t>
      </w:r>
      <w:r w:rsidR="00477387">
        <w:rPr>
          <w:rFonts w:cs="Arial"/>
        </w:rPr>
        <w:t xml:space="preserve"> of the Submitted </w:t>
      </w:r>
      <w:r w:rsidR="00BE18D8">
        <w:rPr>
          <w:rFonts w:cs="Arial"/>
        </w:rPr>
        <w:t>P</w:t>
      </w:r>
      <w:r w:rsidR="00477387">
        <w:rPr>
          <w:rFonts w:cs="Arial"/>
        </w:rPr>
        <w:t>lan and also include the insertion of an additional policy.</w:t>
      </w:r>
      <w:r w:rsidRPr="00477387">
        <w:rPr>
          <w:rFonts w:cs="Arial"/>
        </w:rPr>
        <w:t xml:space="preserve"> It is important to note that the modifications</w:t>
      </w:r>
      <w:r>
        <w:rPr>
          <w:rFonts w:cs="Arial"/>
        </w:rPr>
        <w:t xml:space="preserve"> proposed do not alter the purpose of</w:t>
      </w:r>
      <w:r w:rsidRPr="00F851D1">
        <w:rPr>
          <w:rFonts w:cs="Arial"/>
        </w:rPr>
        <w:t xml:space="preserve"> the </w:t>
      </w:r>
      <w:r>
        <w:rPr>
          <w:rFonts w:cs="Arial"/>
        </w:rPr>
        <w:t>P</w:t>
      </w:r>
      <w:r w:rsidRPr="00F851D1">
        <w:rPr>
          <w:rFonts w:cs="Arial"/>
        </w:rPr>
        <w:t xml:space="preserve">lan and will have no impact on the way the Plan is to be used in guiding minerals development in future. </w:t>
      </w:r>
      <w:r>
        <w:rPr>
          <w:rFonts w:cs="Arial"/>
        </w:rPr>
        <w:t xml:space="preserve"> </w:t>
      </w:r>
    </w:p>
    <w:p w:rsidR="006C7E4D" w:rsidRDefault="006C7E4D" w:rsidP="006C7E4D">
      <w:pPr>
        <w:rPr>
          <w:rFonts w:cs="Arial"/>
        </w:rPr>
      </w:pPr>
    </w:p>
    <w:p w:rsidR="004162EF" w:rsidRDefault="00053C08" w:rsidP="004162EF">
      <w:pPr>
        <w:numPr>
          <w:ilvl w:val="1"/>
          <w:numId w:val="32"/>
        </w:numPr>
        <w:tabs>
          <w:tab w:val="clear" w:pos="360"/>
          <w:tab w:val="num" w:pos="709"/>
        </w:tabs>
        <w:ind w:left="709" w:hanging="709"/>
        <w:rPr>
          <w:rFonts w:cs="Arial"/>
        </w:rPr>
      </w:pPr>
      <w:r>
        <w:rPr>
          <w:rFonts w:cs="Arial"/>
        </w:rPr>
        <w:t>The most significant change is to Policy 7 Mineral Safeguarding Areas.  This change has been introduced in response to concerns from objectors to the Plan that the non-identification of MSAs within the urban area could lead to the unnecessary sterilisation of minerals and missed opportunities for the extraction of important resources.  The change therefore sets out a policy approach outside identified MSAs i.e. for the urban area that would support the prior extraction of minerals where the potential for prior extraction has been identified either through development plans or by a developer.  The acceptability of prior extraction would of course need to comply fully with the key planning and environmental criteria in the plan.  This change is necessary to ensure that areas suitable for extraction of mineral resources prior to non minerals development outside the current MSA receive support within the Policy in line with the requirements of National Planning Policy.</w:t>
      </w:r>
    </w:p>
    <w:p w:rsidR="0002750B" w:rsidRPr="00383EA5" w:rsidRDefault="0002750B" w:rsidP="0002750B">
      <w:pPr>
        <w:autoSpaceDE w:val="0"/>
        <w:autoSpaceDN w:val="0"/>
        <w:rPr>
          <w:rFonts w:ascii="TimesNewRoman" w:hAnsi="TimesNewRoman"/>
          <w:i/>
          <w:iCs/>
        </w:rPr>
      </w:pPr>
    </w:p>
    <w:p w:rsidR="00053C08" w:rsidRDefault="0002750B" w:rsidP="0002750B">
      <w:pPr>
        <w:numPr>
          <w:ilvl w:val="1"/>
          <w:numId w:val="32"/>
        </w:numPr>
        <w:tabs>
          <w:tab w:val="clear" w:pos="360"/>
          <w:tab w:val="num" w:pos="709"/>
        </w:tabs>
        <w:ind w:left="709" w:hanging="709"/>
        <w:rPr>
          <w:rFonts w:cs="Arial"/>
        </w:rPr>
      </w:pPr>
      <w:r>
        <w:rPr>
          <w:rFonts w:cs="Arial"/>
        </w:rPr>
        <w:t xml:space="preserve">The change proposed to Policy 2 ensures that the requirement to make provision for a </w:t>
      </w:r>
      <w:proofErr w:type="spellStart"/>
      <w:r>
        <w:rPr>
          <w:rFonts w:cs="Arial"/>
        </w:rPr>
        <w:t>landbank</w:t>
      </w:r>
      <w:proofErr w:type="spellEnd"/>
      <w:r>
        <w:rPr>
          <w:rFonts w:cs="Arial"/>
        </w:rPr>
        <w:t xml:space="preserve"> of at least 7 years for sand and gravel and at least 10 years for crushed rock is explicitly included within the policy. In this context, a </w:t>
      </w:r>
      <w:proofErr w:type="spellStart"/>
      <w:r>
        <w:rPr>
          <w:rFonts w:cs="Arial"/>
        </w:rPr>
        <w:t>landbank</w:t>
      </w:r>
      <w:proofErr w:type="spellEnd"/>
      <w:r>
        <w:rPr>
          <w:rFonts w:cs="Arial"/>
        </w:rPr>
        <w:t xml:space="preserve"> is a stock of planning permissions for the winning and working of minerals and </w:t>
      </w:r>
      <w:r w:rsidR="00BE236F">
        <w:rPr>
          <w:rFonts w:cs="Arial"/>
        </w:rPr>
        <w:t xml:space="preserve">is </w:t>
      </w:r>
      <w:r w:rsidR="00BE236F" w:rsidRPr="0002750B">
        <w:rPr>
          <w:rFonts w:cs="Arial"/>
          <w:iCs/>
        </w:rPr>
        <w:t>necessary</w:t>
      </w:r>
      <w:r w:rsidRPr="0002750B">
        <w:rPr>
          <w:rFonts w:cs="Arial"/>
          <w:iCs/>
        </w:rPr>
        <w:t xml:space="preserve"> to enable the aggregates supply industry to respond speedily to fluctuations in demand</w:t>
      </w:r>
      <w:r w:rsidRPr="00BE236F">
        <w:rPr>
          <w:rFonts w:ascii="TimesNewRoman" w:hAnsi="TimesNewRoman"/>
          <w:iCs/>
        </w:rPr>
        <w:t>.</w:t>
      </w:r>
      <w:r w:rsidRPr="00383EA5">
        <w:rPr>
          <w:rFonts w:ascii="TimesNewRoman" w:hAnsi="TimesNewRoman"/>
          <w:i/>
          <w:iCs/>
        </w:rPr>
        <w:t xml:space="preserve"> </w:t>
      </w:r>
      <w:r>
        <w:rPr>
          <w:rFonts w:cs="Arial"/>
        </w:rPr>
        <w:t>This modification to the Policy 2 has been required</w:t>
      </w:r>
      <w:r w:rsidR="00053C08">
        <w:rPr>
          <w:rFonts w:cs="Arial"/>
        </w:rPr>
        <w:t xml:space="preserve"> </w:t>
      </w:r>
      <w:r w:rsidR="00BE236F">
        <w:rPr>
          <w:rFonts w:cs="Arial"/>
        </w:rPr>
        <w:t>to demonstrate</w:t>
      </w:r>
      <w:r w:rsidR="00053C08">
        <w:rPr>
          <w:rFonts w:cs="Arial"/>
        </w:rPr>
        <w:t xml:space="preserve"> the G</w:t>
      </w:r>
      <w:r w:rsidR="007F0D4B">
        <w:rPr>
          <w:rFonts w:cs="Arial"/>
        </w:rPr>
        <w:t xml:space="preserve">reater </w:t>
      </w:r>
      <w:r w:rsidR="00053C08">
        <w:rPr>
          <w:rFonts w:cs="Arial"/>
        </w:rPr>
        <w:t>M</w:t>
      </w:r>
      <w:r w:rsidR="007F0D4B">
        <w:rPr>
          <w:rFonts w:cs="Arial"/>
        </w:rPr>
        <w:t>anchester</w:t>
      </w:r>
      <w:r w:rsidR="00053C08">
        <w:rPr>
          <w:rFonts w:cs="Arial"/>
        </w:rPr>
        <w:t xml:space="preserve"> Authorities</w:t>
      </w:r>
      <w:r w:rsidR="007F0D4B">
        <w:rPr>
          <w:rFonts w:cs="Arial"/>
        </w:rPr>
        <w:t>’</w:t>
      </w:r>
      <w:r w:rsidR="00053C08">
        <w:rPr>
          <w:rFonts w:cs="Arial"/>
        </w:rPr>
        <w:t xml:space="preserve"> commitment to delivering the </w:t>
      </w:r>
      <w:proofErr w:type="spellStart"/>
      <w:r w:rsidR="00053C08">
        <w:rPr>
          <w:rFonts w:cs="Arial"/>
        </w:rPr>
        <w:t>landbank</w:t>
      </w:r>
      <w:proofErr w:type="spellEnd"/>
      <w:r w:rsidR="00053C08">
        <w:rPr>
          <w:rFonts w:cs="Arial"/>
        </w:rPr>
        <w:t xml:space="preserve"> in line with National Planning Policy.</w:t>
      </w:r>
      <w:r w:rsidR="00FE57E2">
        <w:rPr>
          <w:rFonts w:cs="Arial"/>
        </w:rPr>
        <w:t xml:space="preserve"> </w:t>
      </w:r>
    </w:p>
    <w:p w:rsidR="00053C08" w:rsidRDefault="00053C08" w:rsidP="00730C24">
      <w:pPr>
        <w:tabs>
          <w:tab w:val="num" w:pos="709"/>
        </w:tabs>
        <w:ind w:left="709" w:hanging="709"/>
        <w:rPr>
          <w:rFonts w:cs="Arial"/>
        </w:rPr>
      </w:pPr>
    </w:p>
    <w:p w:rsidR="00053C08" w:rsidRDefault="00053C08" w:rsidP="00730C24">
      <w:pPr>
        <w:numPr>
          <w:ilvl w:val="1"/>
          <w:numId w:val="32"/>
        </w:numPr>
        <w:tabs>
          <w:tab w:val="clear" w:pos="360"/>
          <w:tab w:val="num" w:pos="709"/>
        </w:tabs>
        <w:ind w:left="709" w:hanging="709"/>
        <w:rPr>
          <w:rFonts w:cs="Arial"/>
        </w:rPr>
      </w:pPr>
      <w:r>
        <w:rPr>
          <w:rFonts w:cs="Arial"/>
        </w:rPr>
        <w:t xml:space="preserve">The change to Policy 12 sees the removal the third bullet point on financial provision which was incorrectly included in this policy.  The change is essential to ensure the Plan conforms </w:t>
      </w:r>
      <w:proofErr w:type="gramStart"/>
      <w:r>
        <w:rPr>
          <w:rFonts w:cs="Arial"/>
        </w:rPr>
        <w:t>with</w:t>
      </w:r>
      <w:proofErr w:type="gramEnd"/>
      <w:r>
        <w:rPr>
          <w:rFonts w:cs="Arial"/>
        </w:rPr>
        <w:t xml:space="preserve"> national policy.</w:t>
      </w:r>
      <w:r w:rsidR="00D26A35">
        <w:rPr>
          <w:rFonts w:cs="Arial"/>
        </w:rPr>
        <w:t xml:space="preserve">  The National Planning Policy Framework only allows local authorities to seek financial guarantees in exceptional circumstances, whereas Policy 12 previously sought details of </w:t>
      </w:r>
      <w:r w:rsidR="00D26A35">
        <w:rPr>
          <w:rFonts w:cs="Arial"/>
        </w:rPr>
        <w:lastRenderedPageBreak/>
        <w:t xml:space="preserve">financial provision in all cases.  This change to the policy does not </w:t>
      </w:r>
      <w:r w:rsidR="00126EB7">
        <w:rPr>
          <w:rFonts w:cs="Arial"/>
        </w:rPr>
        <w:t>prevent</w:t>
      </w:r>
      <w:r w:rsidR="00D26A35">
        <w:rPr>
          <w:rFonts w:cs="Arial"/>
        </w:rPr>
        <w:t xml:space="preserve"> the local authorities from seeking financial provision in exceptional circumstances, as set out in national policy.</w:t>
      </w:r>
    </w:p>
    <w:p w:rsidR="004162EF" w:rsidRDefault="004162EF" w:rsidP="004162EF">
      <w:pPr>
        <w:rPr>
          <w:rFonts w:cs="Arial"/>
        </w:rPr>
      </w:pPr>
    </w:p>
    <w:p w:rsidR="00477387" w:rsidRDefault="00477387" w:rsidP="00730C24">
      <w:pPr>
        <w:numPr>
          <w:ilvl w:val="1"/>
          <w:numId w:val="32"/>
        </w:numPr>
        <w:tabs>
          <w:tab w:val="clear" w:pos="360"/>
          <w:tab w:val="num" w:pos="709"/>
        </w:tabs>
        <w:ind w:left="709" w:hanging="709"/>
        <w:rPr>
          <w:rFonts w:cs="Arial"/>
        </w:rPr>
      </w:pPr>
      <w:r>
        <w:rPr>
          <w:rFonts w:cs="Arial"/>
        </w:rPr>
        <w:t xml:space="preserve">Following the publication of the National Planning Policy Framework in March 2012, the Inspector has indicated that there is a need to include a policy within the plan specifically referring to the presumption in favour of sustainable development. This has been included as a new Policy 1 at the start of the plan. In the final plan, all the other policies will be re-numbered as a consequence but </w:t>
      </w:r>
      <w:r w:rsidR="00126EB7">
        <w:rPr>
          <w:rFonts w:cs="Arial"/>
        </w:rPr>
        <w:t xml:space="preserve">for </w:t>
      </w:r>
      <w:r>
        <w:rPr>
          <w:rFonts w:cs="Arial"/>
        </w:rPr>
        <w:t xml:space="preserve">the purposes of this report, policy numbers are as in the Submitted </w:t>
      </w:r>
      <w:r w:rsidR="00126EB7">
        <w:rPr>
          <w:rFonts w:cs="Arial"/>
        </w:rPr>
        <w:t>Plan</w:t>
      </w:r>
      <w:r>
        <w:rPr>
          <w:rFonts w:cs="Arial"/>
        </w:rPr>
        <w:t>.</w:t>
      </w:r>
    </w:p>
    <w:p w:rsidR="00477387" w:rsidRDefault="00477387" w:rsidP="00477387">
      <w:pPr>
        <w:rPr>
          <w:rFonts w:cs="Arial"/>
        </w:rPr>
      </w:pPr>
    </w:p>
    <w:p w:rsidR="00477387" w:rsidRPr="00477387" w:rsidRDefault="00477387" w:rsidP="00477387">
      <w:pPr>
        <w:rPr>
          <w:rFonts w:cs="Arial"/>
          <w:b/>
        </w:rPr>
      </w:pPr>
      <w:r w:rsidRPr="00477387">
        <w:rPr>
          <w:rFonts w:cs="Arial"/>
          <w:b/>
        </w:rPr>
        <w:t>4</w:t>
      </w:r>
      <w:r w:rsidRPr="00477387">
        <w:rPr>
          <w:rFonts w:cs="Arial"/>
          <w:b/>
        </w:rPr>
        <w:tab/>
        <w:t>Peat</w:t>
      </w:r>
    </w:p>
    <w:p w:rsidR="00477387" w:rsidRDefault="00477387" w:rsidP="00477387">
      <w:pPr>
        <w:rPr>
          <w:rFonts w:cs="Arial"/>
        </w:rPr>
      </w:pPr>
    </w:p>
    <w:p w:rsidR="004162EF" w:rsidRDefault="004162EF" w:rsidP="00477387">
      <w:pPr>
        <w:numPr>
          <w:ilvl w:val="1"/>
          <w:numId w:val="40"/>
        </w:numPr>
        <w:tabs>
          <w:tab w:val="clear" w:pos="360"/>
          <w:tab w:val="num" w:pos="709"/>
        </w:tabs>
        <w:ind w:left="709" w:hanging="709"/>
        <w:rPr>
          <w:rFonts w:cs="Arial"/>
        </w:rPr>
      </w:pPr>
      <w:r>
        <w:rPr>
          <w:rFonts w:cs="Arial"/>
        </w:rPr>
        <w:t xml:space="preserve">A further </w:t>
      </w:r>
      <w:r w:rsidR="00126EB7">
        <w:rPr>
          <w:rFonts w:cs="Arial"/>
        </w:rPr>
        <w:t xml:space="preserve">Main Modification </w:t>
      </w:r>
      <w:r w:rsidR="007F0D4B">
        <w:rPr>
          <w:rFonts w:cs="Arial"/>
        </w:rPr>
        <w:t xml:space="preserve">is proposed to Maps </w:t>
      </w:r>
      <w:r w:rsidR="00126EB7">
        <w:rPr>
          <w:rFonts w:cs="Arial"/>
        </w:rPr>
        <w:t>11-</w:t>
      </w:r>
      <w:r w:rsidR="007F0D4B">
        <w:rPr>
          <w:rFonts w:cs="Arial"/>
        </w:rPr>
        <w:t>20 to remove the Minerals Safeguarding Area for peat. Under the National Planning Policy Framework, there is no longer any need to safeguard peat for future minerals extraction. It is therefore proposed to remove the Minerals Safeguarding Areas for peat from the plan.</w:t>
      </w:r>
      <w:r w:rsidR="007570E8">
        <w:rPr>
          <w:rFonts w:cs="Arial"/>
        </w:rPr>
        <w:t xml:space="preserve"> </w:t>
      </w:r>
      <w:r w:rsidR="000C13DE">
        <w:rPr>
          <w:rFonts w:cs="Arial"/>
        </w:rPr>
        <w:t xml:space="preserve">Modifications to the supporting text to Policy 6 Peat are also proposed. These can be found within </w:t>
      </w:r>
      <w:r w:rsidR="00A84D2C">
        <w:rPr>
          <w:rFonts w:cs="Arial"/>
        </w:rPr>
        <w:t xml:space="preserve">Schedule 2, together with other </w:t>
      </w:r>
      <w:r w:rsidR="00126EB7">
        <w:rPr>
          <w:rFonts w:cs="Arial"/>
        </w:rPr>
        <w:t>Minor Modifications</w:t>
      </w:r>
      <w:r w:rsidR="000C13DE">
        <w:rPr>
          <w:rFonts w:cs="Arial"/>
        </w:rPr>
        <w:t>.</w:t>
      </w:r>
    </w:p>
    <w:p w:rsidR="004162EF" w:rsidRDefault="004162EF" w:rsidP="004162EF">
      <w:pPr>
        <w:rPr>
          <w:rFonts w:cs="Arial"/>
        </w:rPr>
      </w:pPr>
    </w:p>
    <w:p w:rsidR="004162EF" w:rsidRPr="004162EF" w:rsidRDefault="00477387" w:rsidP="004162EF">
      <w:pPr>
        <w:rPr>
          <w:rFonts w:cs="Arial"/>
          <w:b/>
        </w:rPr>
      </w:pPr>
      <w:r>
        <w:rPr>
          <w:rFonts w:cs="Arial"/>
          <w:b/>
        </w:rPr>
        <w:t>5</w:t>
      </w:r>
      <w:r w:rsidR="004162EF">
        <w:rPr>
          <w:rFonts w:cs="Arial"/>
          <w:b/>
        </w:rPr>
        <w:tab/>
        <w:t>Next Steps</w:t>
      </w:r>
    </w:p>
    <w:p w:rsidR="00053C08" w:rsidRDefault="00053C08" w:rsidP="00730C24">
      <w:pPr>
        <w:tabs>
          <w:tab w:val="num" w:pos="709"/>
        </w:tabs>
        <w:ind w:left="709" w:hanging="709"/>
        <w:rPr>
          <w:rFonts w:cs="Arial"/>
        </w:rPr>
      </w:pPr>
    </w:p>
    <w:p w:rsidR="00053C08" w:rsidRDefault="00053C08" w:rsidP="00477387">
      <w:pPr>
        <w:numPr>
          <w:ilvl w:val="1"/>
          <w:numId w:val="36"/>
        </w:numPr>
        <w:tabs>
          <w:tab w:val="clear" w:pos="360"/>
          <w:tab w:val="num" w:pos="709"/>
        </w:tabs>
        <w:ind w:left="709" w:hanging="709"/>
        <w:rPr>
          <w:rFonts w:cs="Arial"/>
        </w:rPr>
      </w:pPr>
      <w:r>
        <w:rPr>
          <w:rFonts w:cs="Arial"/>
        </w:rPr>
        <w:t>It is proposed that following approval from each of the ten Authorities, a consultation on the Main Modifications will take place during August and September 2012 for a period of 6 weeks.  At the end of the consultation period any representations received on the modifications will be provided to the Inspector.  Should the Inspector decide that an additional hearing is required to examine the representations a further hearing session will be held on 3</w:t>
      </w:r>
      <w:r w:rsidRPr="00042B24">
        <w:rPr>
          <w:rFonts w:cs="Arial"/>
          <w:vertAlign w:val="superscript"/>
        </w:rPr>
        <w:t>rd</w:t>
      </w:r>
      <w:r>
        <w:rPr>
          <w:rFonts w:cs="Arial"/>
        </w:rPr>
        <w:t xml:space="preserve"> October 2012.</w:t>
      </w:r>
    </w:p>
    <w:p w:rsidR="00053C08" w:rsidRDefault="00053C08" w:rsidP="00730C24">
      <w:pPr>
        <w:tabs>
          <w:tab w:val="num" w:pos="709"/>
        </w:tabs>
        <w:ind w:left="709" w:hanging="709"/>
        <w:rPr>
          <w:rFonts w:cs="Arial"/>
        </w:rPr>
      </w:pPr>
    </w:p>
    <w:p w:rsidR="000004A2" w:rsidRPr="0067004F" w:rsidRDefault="00053C08" w:rsidP="004162EF">
      <w:pPr>
        <w:numPr>
          <w:ilvl w:val="1"/>
          <w:numId w:val="36"/>
        </w:numPr>
        <w:tabs>
          <w:tab w:val="clear" w:pos="360"/>
          <w:tab w:val="num" w:pos="709"/>
        </w:tabs>
        <w:ind w:left="709" w:hanging="709"/>
        <w:jc w:val="left"/>
        <w:rPr>
          <w:rFonts w:cs="Arial"/>
          <w:szCs w:val="24"/>
        </w:rPr>
      </w:pPr>
      <w:r>
        <w:rPr>
          <w:rFonts w:cs="Arial"/>
        </w:rPr>
        <w:t>Following the close of the hearing sessions in October, the Inspector’s report into soundness will be received during November 2012.  Provided the Minerals Plan is found sound, the Plan will then need to be adopted by each of the ten Authorities.  This process is likely to commence from December 2012 with a common adoption date of 1</w:t>
      </w:r>
      <w:r w:rsidRPr="004A2B90">
        <w:rPr>
          <w:rFonts w:cs="Arial"/>
          <w:vertAlign w:val="superscript"/>
        </w:rPr>
        <w:t>st</w:t>
      </w:r>
      <w:r>
        <w:rPr>
          <w:rFonts w:cs="Arial"/>
        </w:rPr>
        <w:t xml:space="preserve"> April 2013.</w:t>
      </w:r>
    </w:p>
    <w:p w:rsidR="003F5E14" w:rsidRDefault="003F5E14" w:rsidP="00657C67">
      <w:pPr>
        <w:tabs>
          <w:tab w:val="left" w:pos="1080"/>
          <w:tab w:val="left" w:pos="2700"/>
          <w:tab w:val="right" w:leader="underscore" w:pos="9072"/>
        </w:tabs>
        <w:rPr>
          <w:rFonts w:cs="Arial"/>
          <w:szCs w:val="24"/>
        </w:rPr>
      </w:pPr>
    </w:p>
    <w:p w:rsidR="005F1F8E" w:rsidRPr="00B63E30" w:rsidRDefault="005F1F8E" w:rsidP="001E245B">
      <w:pPr>
        <w:tabs>
          <w:tab w:val="right" w:leader="underscore" w:pos="9072"/>
        </w:tabs>
        <w:rPr>
          <w:rFonts w:cs="Arial"/>
          <w:szCs w:val="24"/>
        </w:rPr>
      </w:pPr>
      <w:r w:rsidRPr="00B63E30">
        <w:rPr>
          <w:rFonts w:cs="Arial"/>
          <w:szCs w:val="24"/>
        </w:rPr>
        <w:tab/>
      </w:r>
    </w:p>
    <w:p w:rsidR="005F1F8E" w:rsidRPr="00B63E30" w:rsidRDefault="005F1F8E" w:rsidP="001E245B">
      <w:pPr>
        <w:tabs>
          <w:tab w:val="right" w:leader="underscore" w:pos="9072"/>
        </w:tabs>
        <w:rPr>
          <w:rFonts w:cs="Arial"/>
          <w:szCs w:val="24"/>
        </w:rPr>
      </w:pPr>
    </w:p>
    <w:p w:rsidR="00126D3B" w:rsidRDefault="005F1F8E" w:rsidP="001E245B">
      <w:pPr>
        <w:tabs>
          <w:tab w:val="left" w:pos="3150"/>
          <w:tab w:val="right" w:leader="underscore" w:pos="9072"/>
        </w:tabs>
        <w:rPr>
          <w:rFonts w:cs="Arial"/>
          <w:szCs w:val="24"/>
        </w:rPr>
      </w:pPr>
      <w:r w:rsidRPr="00B63E30">
        <w:rPr>
          <w:rFonts w:cs="Arial"/>
          <w:szCs w:val="24"/>
        </w:rPr>
        <w:t>KEY COUNCIL POLICIES:</w:t>
      </w:r>
      <w:r w:rsidR="00C05CD7" w:rsidRPr="00B63E30">
        <w:rPr>
          <w:rFonts w:cs="Arial"/>
          <w:szCs w:val="24"/>
        </w:rPr>
        <w:t xml:space="preserve"> Local Development Framework</w:t>
      </w:r>
    </w:p>
    <w:p w:rsidR="005F1F8E" w:rsidRPr="00B63E30" w:rsidRDefault="005F1F8E" w:rsidP="001E245B">
      <w:pPr>
        <w:tabs>
          <w:tab w:val="right" w:leader="underscore" w:pos="9072"/>
        </w:tabs>
        <w:rPr>
          <w:rFonts w:cs="Arial"/>
          <w:szCs w:val="24"/>
        </w:rPr>
      </w:pPr>
      <w:r w:rsidRPr="00B63E30">
        <w:rPr>
          <w:rFonts w:cs="Arial"/>
          <w:szCs w:val="24"/>
        </w:rPr>
        <w:tab/>
      </w:r>
    </w:p>
    <w:p w:rsidR="005F1F8E" w:rsidRPr="00F57EC6" w:rsidRDefault="005F1F8E" w:rsidP="001E245B">
      <w:pPr>
        <w:tabs>
          <w:tab w:val="right" w:leader="underscore" w:pos="9072"/>
        </w:tabs>
        <w:rPr>
          <w:rFonts w:cs="Arial"/>
          <w:color w:val="3366FF"/>
          <w:szCs w:val="24"/>
        </w:rPr>
      </w:pPr>
    </w:p>
    <w:p w:rsidR="00657C67" w:rsidRPr="00C92BA9" w:rsidRDefault="005F1F8E" w:rsidP="008A285B">
      <w:pPr>
        <w:autoSpaceDE w:val="0"/>
        <w:autoSpaceDN w:val="0"/>
        <w:adjustRightInd w:val="0"/>
        <w:rPr>
          <w:rFonts w:cs="Arial"/>
          <w:szCs w:val="24"/>
          <w:lang w:eastAsia="en-GB"/>
        </w:rPr>
      </w:pPr>
      <w:r w:rsidRPr="00C92BA9">
        <w:rPr>
          <w:rFonts w:cs="Arial"/>
          <w:szCs w:val="24"/>
        </w:rPr>
        <w:t>EQUALITY IMPACT ASSESSMENT AND IMPLICATIONS:</w:t>
      </w:r>
      <w:r w:rsidR="000B51AC" w:rsidRPr="00C92BA9">
        <w:rPr>
          <w:rFonts w:cs="Arial"/>
          <w:szCs w:val="24"/>
        </w:rPr>
        <w:t xml:space="preserve"> </w:t>
      </w:r>
      <w:r w:rsidR="00657C67" w:rsidRPr="00C92BA9">
        <w:rPr>
          <w:rFonts w:cs="Arial"/>
          <w:szCs w:val="24"/>
        </w:rPr>
        <w:t xml:space="preserve">Greater Manchester Geological Unit undertook an Equality Impact Assessment </w:t>
      </w:r>
      <w:r w:rsidR="00C92BA9" w:rsidRPr="00C92BA9">
        <w:rPr>
          <w:rFonts w:cs="Arial"/>
          <w:szCs w:val="24"/>
        </w:rPr>
        <w:t xml:space="preserve">in </w:t>
      </w:r>
      <w:r w:rsidR="003B018B">
        <w:rPr>
          <w:rFonts w:cs="Arial"/>
          <w:szCs w:val="24"/>
        </w:rPr>
        <w:t>February 2011</w:t>
      </w:r>
      <w:r w:rsidR="00C92BA9" w:rsidRPr="00C92BA9">
        <w:rPr>
          <w:rFonts w:cs="Arial"/>
          <w:szCs w:val="24"/>
        </w:rPr>
        <w:t xml:space="preserve"> in advance </w:t>
      </w:r>
      <w:r w:rsidR="00657C67" w:rsidRPr="00C92BA9">
        <w:rPr>
          <w:rFonts w:cs="Arial"/>
          <w:szCs w:val="24"/>
        </w:rPr>
        <w:t xml:space="preserve">of the </w:t>
      </w:r>
      <w:r w:rsidR="00C92BA9" w:rsidRPr="00C92BA9">
        <w:rPr>
          <w:rFonts w:cs="Arial"/>
          <w:szCs w:val="24"/>
        </w:rPr>
        <w:t xml:space="preserve">issue of the </w:t>
      </w:r>
      <w:r w:rsidR="00657C67" w:rsidRPr="00C92BA9">
        <w:rPr>
          <w:rFonts w:cs="Arial"/>
          <w:szCs w:val="24"/>
        </w:rPr>
        <w:t xml:space="preserve">Publication Joint </w:t>
      </w:r>
      <w:r w:rsidR="003B018B">
        <w:rPr>
          <w:rFonts w:cs="Arial"/>
          <w:szCs w:val="24"/>
        </w:rPr>
        <w:t>Minerals</w:t>
      </w:r>
      <w:r w:rsidR="00657C67" w:rsidRPr="00C92BA9">
        <w:rPr>
          <w:rFonts w:cs="Arial"/>
          <w:szCs w:val="24"/>
        </w:rPr>
        <w:t xml:space="preserve"> Development Plan Document</w:t>
      </w:r>
      <w:r w:rsidR="00C92BA9" w:rsidRPr="00C92BA9">
        <w:rPr>
          <w:rFonts w:cs="Arial"/>
          <w:szCs w:val="24"/>
        </w:rPr>
        <w:t xml:space="preserve">. The assessment found that the </w:t>
      </w:r>
      <w:r w:rsidR="000A2F38">
        <w:rPr>
          <w:rFonts w:cs="Arial"/>
          <w:szCs w:val="24"/>
        </w:rPr>
        <w:t>Plan</w:t>
      </w:r>
      <w:r w:rsidR="00C92BA9" w:rsidRPr="00C92BA9">
        <w:rPr>
          <w:rFonts w:cs="Arial"/>
          <w:szCs w:val="24"/>
        </w:rPr>
        <w:t xml:space="preserve"> strategy would have no differential or negative impact on any of the identified equality strands. As the initial assessment identified </w:t>
      </w:r>
      <w:r w:rsidR="00C92BA9" w:rsidRPr="00C92BA9">
        <w:rPr>
          <w:rFonts w:cs="Arial"/>
          <w:szCs w:val="24"/>
          <w:lang w:eastAsia="en-GB"/>
        </w:rPr>
        <w:t>no differential or negative impacts, a full Equality Impact Assessment was not required.</w:t>
      </w:r>
    </w:p>
    <w:p w:rsidR="005F1F8E" w:rsidRPr="00F27273" w:rsidRDefault="005F1F8E" w:rsidP="001E245B">
      <w:pPr>
        <w:tabs>
          <w:tab w:val="right" w:leader="underscore" w:pos="9072"/>
        </w:tabs>
        <w:rPr>
          <w:rFonts w:cs="Arial"/>
          <w:szCs w:val="24"/>
        </w:rPr>
      </w:pPr>
      <w:r w:rsidRPr="00F27273">
        <w:rPr>
          <w:rFonts w:cs="Arial"/>
          <w:szCs w:val="24"/>
        </w:rPr>
        <w:tab/>
      </w:r>
    </w:p>
    <w:p w:rsidR="005F1F8E" w:rsidRPr="00F27273" w:rsidRDefault="005F1F8E" w:rsidP="001E245B">
      <w:pPr>
        <w:tabs>
          <w:tab w:val="right" w:leader="underscore" w:pos="9072"/>
        </w:tabs>
        <w:rPr>
          <w:rFonts w:cs="Arial"/>
          <w:szCs w:val="24"/>
        </w:rPr>
      </w:pPr>
    </w:p>
    <w:p w:rsidR="00EE0E36" w:rsidRDefault="005F1F8E" w:rsidP="00536722">
      <w:pPr>
        <w:tabs>
          <w:tab w:val="left" w:pos="3060"/>
          <w:tab w:val="right" w:leader="underscore" w:pos="9072"/>
        </w:tabs>
        <w:rPr>
          <w:rFonts w:cs="Arial"/>
          <w:szCs w:val="24"/>
        </w:rPr>
      </w:pPr>
      <w:r w:rsidRPr="00F27273">
        <w:rPr>
          <w:rFonts w:cs="Arial"/>
          <w:szCs w:val="24"/>
        </w:rPr>
        <w:lastRenderedPageBreak/>
        <w:t>ASSESSMENT OF RISK:</w:t>
      </w:r>
      <w:r w:rsidR="00AC37B5">
        <w:rPr>
          <w:rFonts w:cs="Arial"/>
          <w:szCs w:val="24"/>
        </w:rPr>
        <w:t xml:space="preserve"> </w:t>
      </w:r>
      <w:r w:rsidR="00EE0E36" w:rsidRPr="00A50189">
        <w:rPr>
          <w:rFonts w:cs="Arial"/>
          <w:szCs w:val="24"/>
        </w:rPr>
        <w:t xml:space="preserve">Medium – </w:t>
      </w:r>
      <w:r w:rsidR="00EE0E36">
        <w:rPr>
          <w:rFonts w:cs="Arial"/>
          <w:szCs w:val="24"/>
        </w:rPr>
        <w:t>approval by full Council is required from each of the ten Greater Manchester districts to the main modifications to the Joint Minerals Development Plan Document. In the event that any one of the ten districts does not approve the main modifications, the timescale for production of the document would be jeopardised and there would be associated financial implications in terms of the additional work needed to be undertaken by Greater Manchester Geological Unit on behalf of the ten districts.</w:t>
      </w:r>
    </w:p>
    <w:p w:rsidR="005F1F8E" w:rsidRPr="00F27273" w:rsidRDefault="005F1F8E" w:rsidP="001E245B">
      <w:pPr>
        <w:tabs>
          <w:tab w:val="right" w:leader="underscore" w:pos="9072"/>
        </w:tabs>
        <w:rPr>
          <w:rFonts w:cs="Arial"/>
          <w:szCs w:val="24"/>
        </w:rPr>
      </w:pPr>
      <w:r w:rsidRPr="00F27273">
        <w:rPr>
          <w:rFonts w:cs="Arial"/>
          <w:szCs w:val="24"/>
        </w:rPr>
        <w:tab/>
      </w:r>
    </w:p>
    <w:p w:rsidR="005F1F8E" w:rsidRPr="00F57EC6" w:rsidRDefault="005F1F8E" w:rsidP="001E245B">
      <w:pPr>
        <w:tabs>
          <w:tab w:val="right" w:leader="underscore" w:pos="9072"/>
        </w:tabs>
        <w:rPr>
          <w:rFonts w:cs="Arial"/>
          <w:color w:val="3366FF"/>
          <w:szCs w:val="24"/>
        </w:rPr>
      </w:pPr>
    </w:p>
    <w:p w:rsidR="005F1F8E" w:rsidRPr="00B63E30" w:rsidRDefault="005F1F8E" w:rsidP="001E245B">
      <w:pPr>
        <w:tabs>
          <w:tab w:val="left" w:pos="2970"/>
          <w:tab w:val="right" w:leader="underscore" w:pos="9072"/>
        </w:tabs>
        <w:rPr>
          <w:rFonts w:cs="Arial"/>
          <w:szCs w:val="24"/>
        </w:rPr>
      </w:pPr>
      <w:r w:rsidRPr="00B63E30">
        <w:rPr>
          <w:rFonts w:cs="Arial"/>
          <w:szCs w:val="24"/>
        </w:rPr>
        <w:t>SOURCE OF FUNDING:</w:t>
      </w:r>
      <w:r w:rsidR="00AA7370" w:rsidRPr="00B63E30">
        <w:rPr>
          <w:rFonts w:cs="Arial"/>
          <w:szCs w:val="24"/>
        </w:rPr>
        <w:t xml:space="preserve"> </w:t>
      </w:r>
      <w:r w:rsidR="007271A3">
        <w:rPr>
          <w:rFonts w:cs="Arial"/>
          <w:szCs w:val="24"/>
        </w:rPr>
        <w:t xml:space="preserve">The ten Greater Manchester authorities have funded Greater Manchester Geological Unit to prepare the Joint </w:t>
      </w:r>
      <w:r w:rsidR="003747E5">
        <w:rPr>
          <w:rFonts w:cs="Arial"/>
          <w:szCs w:val="24"/>
        </w:rPr>
        <w:t>Minerals</w:t>
      </w:r>
      <w:r w:rsidR="007271A3">
        <w:rPr>
          <w:rFonts w:cs="Arial"/>
          <w:szCs w:val="24"/>
        </w:rPr>
        <w:t xml:space="preserve"> Developmen</w:t>
      </w:r>
      <w:r w:rsidR="003747E5">
        <w:rPr>
          <w:rFonts w:cs="Arial"/>
          <w:szCs w:val="24"/>
        </w:rPr>
        <w:t>t Plan Document on their behalf</w:t>
      </w:r>
      <w:r w:rsidR="005804C5">
        <w:rPr>
          <w:rFonts w:cs="Arial"/>
          <w:szCs w:val="24"/>
        </w:rPr>
        <w:t>.</w:t>
      </w:r>
      <w:r w:rsidR="00AA7370" w:rsidRPr="00B63E30">
        <w:rPr>
          <w:rFonts w:cs="Arial"/>
          <w:szCs w:val="24"/>
        </w:rPr>
        <w:t xml:space="preserve"> </w:t>
      </w:r>
      <w:r w:rsidR="0085258B">
        <w:rPr>
          <w:rFonts w:cs="Arial"/>
          <w:szCs w:val="24"/>
        </w:rPr>
        <w:t xml:space="preserve">The funding for production of the plan has been agreed and represents committed expenditure. </w:t>
      </w:r>
      <w:r w:rsidR="003747E5" w:rsidRPr="009D0F56">
        <w:rPr>
          <w:rFonts w:cs="Arial"/>
          <w:szCs w:val="24"/>
        </w:rPr>
        <w:t>It is anticipated that the process can be concluded within the existing budget.</w:t>
      </w:r>
    </w:p>
    <w:p w:rsidR="005F1F8E" w:rsidRPr="00B63E30" w:rsidRDefault="005F1F8E" w:rsidP="001E245B">
      <w:pPr>
        <w:tabs>
          <w:tab w:val="right" w:leader="underscore" w:pos="9072"/>
        </w:tabs>
        <w:rPr>
          <w:rFonts w:cs="Arial"/>
          <w:szCs w:val="24"/>
        </w:rPr>
      </w:pPr>
      <w:r w:rsidRPr="00B63E30">
        <w:rPr>
          <w:rFonts w:cs="Arial"/>
          <w:szCs w:val="24"/>
        </w:rPr>
        <w:tab/>
      </w:r>
    </w:p>
    <w:p w:rsidR="005F1F8E" w:rsidRPr="00B63E30" w:rsidRDefault="005F1F8E" w:rsidP="001E245B">
      <w:pPr>
        <w:tabs>
          <w:tab w:val="right" w:leader="underscore" w:pos="9072"/>
        </w:tabs>
        <w:rPr>
          <w:rFonts w:cs="Arial"/>
          <w:szCs w:val="24"/>
        </w:rPr>
      </w:pPr>
    </w:p>
    <w:p w:rsidR="005F1F8E" w:rsidRDefault="009F4268" w:rsidP="001E245B">
      <w:pPr>
        <w:tabs>
          <w:tab w:val="left" w:pos="4140"/>
          <w:tab w:val="right" w:leader="underscore" w:pos="9072"/>
        </w:tabs>
        <w:rPr>
          <w:rFonts w:cs="Arial"/>
          <w:szCs w:val="24"/>
        </w:rPr>
      </w:pPr>
      <w:r w:rsidRPr="00B63E30">
        <w:rPr>
          <w:rFonts w:cs="Arial"/>
          <w:szCs w:val="24"/>
        </w:rPr>
        <w:t xml:space="preserve">LEGAL </w:t>
      </w:r>
      <w:r w:rsidRPr="009D7BD6">
        <w:rPr>
          <w:rFonts w:cs="Arial"/>
          <w:szCs w:val="24"/>
        </w:rPr>
        <w:t xml:space="preserve">IMPLICATIONS </w:t>
      </w:r>
      <w:r w:rsidR="009D7BD6" w:rsidRPr="009D7BD6">
        <w:rPr>
          <w:rFonts w:cs="Arial"/>
          <w:szCs w:val="24"/>
        </w:rPr>
        <w:t xml:space="preserve">- </w:t>
      </w:r>
      <w:r w:rsidR="00BA0458" w:rsidRPr="00BA0458">
        <w:rPr>
          <w:rFonts w:cs="Arial"/>
          <w:szCs w:val="24"/>
        </w:rPr>
        <w:t>Supplied on 23rd April 2012 by Richard Lester, Locum Solicitor</w:t>
      </w:r>
      <w:proofErr w:type="gramStart"/>
      <w:r w:rsidR="00BA0458" w:rsidRPr="00BA0458">
        <w:rPr>
          <w:rFonts w:cs="Arial"/>
          <w:szCs w:val="24"/>
        </w:rPr>
        <w:t>  0161</w:t>
      </w:r>
      <w:proofErr w:type="gramEnd"/>
      <w:r w:rsidR="00BA0458" w:rsidRPr="00BA0458">
        <w:rPr>
          <w:rFonts w:cs="Arial"/>
          <w:szCs w:val="24"/>
        </w:rPr>
        <w:t xml:space="preserve"> 793 2129</w:t>
      </w:r>
    </w:p>
    <w:p w:rsidR="00BA0458" w:rsidRPr="009D7BD6" w:rsidRDefault="00BA0458" w:rsidP="001E245B">
      <w:pPr>
        <w:tabs>
          <w:tab w:val="left" w:pos="4140"/>
          <w:tab w:val="right" w:leader="underscore" w:pos="9072"/>
        </w:tabs>
        <w:rPr>
          <w:rFonts w:cs="Arial"/>
          <w:szCs w:val="24"/>
        </w:rPr>
      </w:pPr>
      <w:r w:rsidRPr="00BA0458">
        <w:rPr>
          <w:rFonts w:cs="Arial"/>
          <w:szCs w:val="24"/>
        </w:rPr>
        <w:t>The consequence of not approving the Main Modifications would be to prevent, or at least to delay, the public consultation proposed for August/September 2012. Ultimately this could lead to the Inspector's not approving the Plan at all.</w:t>
      </w:r>
    </w:p>
    <w:p w:rsidR="009F4268" w:rsidRPr="00B63E30" w:rsidRDefault="009F4268" w:rsidP="001E245B">
      <w:pPr>
        <w:tabs>
          <w:tab w:val="right" w:leader="underscore" w:pos="9072"/>
        </w:tabs>
        <w:rPr>
          <w:rFonts w:cs="Arial"/>
          <w:szCs w:val="24"/>
        </w:rPr>
      </w:pPr>
      <w:r w:rsidRPr="00B63E30">
        <w:rPr>
          <w:rFonts w:cs="Arial"/>
          <w:szCs w:val="24"/>
        </w:rPr>
        <w:tab/>
      </w:r>
    </w:p>
    <w:p w:rsidR="009F4268" w:rsidRPr="00B63E30" w:rsidRDefault="009F4268" w:rsidP="001E245B">
      <w:pPr>
        <w:tabs>
          <w:tab w:val="right" w:leader="underscore" w:pos="9072"/>
        </w:tabs>
        <w:rPr>
          <w:rFonts w:cs="Arial"/>
          <w:szCs w:val="24"/>
        </w:rPr>
      </w:pPr>
    </w:p>
    <w:p w:rsidR="00BA0458" w:rsidRDefault="009F4268" w:rsidP="00BA0458">
      <w:pPr>
        <w:tabs>
          <w:tab w:val="left" w:pos="4140"/>
          <w:tab w:val="right" w:leader="underscore" w:pos="9072"/>
        </w:tabs>
        <w:rPr>
          <w:rFonts w:cs="Arial"/>
          <w:szCs w:val="24"/>
        </w:rPr>
      </w:pPr>
      <w:r w:rsidRPr="00B63E30">
        <w:rPr>
          <w:rFonts w:cs="Arial"/>
          <w:szCs w:val="24"/>
        </w:rPr>
        <w:t xml:space="preserve">FINANCIAL IMPLICATIONS </w:t>
      </w:r>
      <w:r w:rsidR="00E64B71">
        <w:rPr>
          <w:rFonts w:cs="Arial"/>
          <w:szCs w:val="24"/>
        </w:rPr>
        <w:t xml:space="preserve">- </w:t>
      </w:r>
      <w:r w:rsidR="00BA0458" w:rsidRPr="00920FCA">
        <w:rPr>
          <w:rFonts w:cs="Arial"/>
          <w:szCs w:val="24"/>
        </w:rPr>
        <w:t>Supplied on</w:t>
      </w:r>
      <w:r w:rsidR="00BA0458">
        <w:rPr>
          <w:rFonts w:cs="Arial"/>
          <w:szCs w:val="24"/>
        </w:rPr>
        <w:t xml:space="preserve"> 17</w:t>
      </w:r>
      <w:r w:rsidR="00BA0458" w:rsidRPr="002D5EA9">
        <w:rPr>
          <w:rFonts w:cs="Arial"/>
          <w:szCs w:val="24"/>
          <w:vertAlign w:val="superscript"/>
        </w:rPr>
        <w:t>th</w:t>
      </w:r>
      <w:r w:rsidR="00BA0458">
        <w:rPr>
          <w:rFonts w:cs="Arial"/>
          <w:szCs w:val="24"/>
        </w:rPr>
        <w:t xml:space="preserve"> April 2012 by Stephen Bayley, Group Accountant (T: 0161 793 2584). </w:t>
      </w:r>
    </w:p>
    <w:p w:rsidR="00E64B71" w:rsidRDefault="00BA0458" w:rsidP="00B63E30">
      <w:pPr>
        <w:tabs>
          <w:tab w:val="left" w:pos="4140"/>
          <w:tab w:val="right" w:leader="underscore" w:pos="9072"/>
        </w:tabs>
        <w:rPr>
          <w:rFonts w:cs="Arial"/>
          <w:szCs w:val="24"/>
        </w:rPr>
      </w:pPr>
      <w:r>
        <w:rPr>
          <w:rFonts w:cs="Arial"/>
          <w:szCs w:val="24"/>
        </w:rPr>
        <w:t>The funding for the production of the document has been outlined above. There are no further financial implications for the City Council as a result of this report.</w:t>
      </w:r>
    </w:p>
    <w:p w:rsidR="005F1F8E" w:rsidRDefault="009F4268" w:rsidP="001E245B">
      <w:pPr>
        <w:tabs>
          <w:tab w:val="right" w:leader="underscore" w:pos="9072"/>
        </w:tabs>
        <w:rPr>
          <w:rFonts w:cs="Arial"/>
          <w:szCs w:val="24"/>
        </w:rPr>
      </w:pPr>
      <w:r w:rsidRPr="00B63E30">
        <w:rPr>
          <w:rFonts w:cs="Arial"/>
          <w:szCs w:val="24"/>
        </w:rPr>
        <w:tab/>
      </w:r>
    </w:p>
    <w:p w:rsidR="00EE36D2" w:rsidRPr="00B63E30" w:rsidRDefault="00EE36D2" w:rsidP="001E245B">
      <w:pPr>
        <w:tabs>
          <w:tab w:val="right" w:leader="underscore" w:pos="9072"/>
        </w:tabs>
        <w:rPr>
          <w:rFonts w:cs="Arial"/>
          <w:szCs w:val="24"/>
        </w:rPr>
      </w:pPr>
    </w:p>
    <w:p w:rsidR="009F4268" w:rsidRPr="00B63E30" w:rsidRDefault="009F4268" w:rsidP="001E245B">
      <w:pPr>
        <w:tabs>
          <w:tab w:val="left" w:pos="4680"/>
          <w:tab w:val="right" w:leader="underscore" w:pos="9072"/>
        </w:tabs>
        <w:rPr>
          <w:rFonts w:cs="Arial"/>
          <w:szCs w:val="24"/>
        </w:rPr>
      </w:pPr>
      <w:r w:rsidRPr="00B63E30">
        <w:rPr>
          <w:rFonts w:cs="Arial"/>
          <w:szCs w:val="24"/>
        </w:rPr>
        <w:t>OTHER DIRECTORATES CONSULTED:</w:t>
      </w:r>
      <w:r w:rsidR="00B63E30" w:rsidRPr="00B63E30">
        <w:rPr>
          <w:rFonts w:cs="Arial"/>
          <w:szCs w:val="24"/>
        </w:rPr>
        <w:t xml:space="preserve"> </w:t>
      </w:r>
      <w:r w:rsidR="00EE36D2">
        <w:rPr>
          <w:rFonts w:cs="Arial"/>
          <w:szCs w:val="24"/>
        </w:rPr>
        <w:t xml:space="preserve">         </w:t>
      </w:r>
    </w:p>
    <w:p w:rsidR="009F4268" w:rsidRPr="00B63E30" w:rsidRDefault="009F4268" w:rsidP="001E245B">
      <w:pPr>
        <w:tabs>
          <w:tab w:val="right" w:leader="underscore" w:pos="9072"/>
        </w:tabs>
        <w:rPr>
          <w:rFonts w:cs="Arial"/>
          <w:szCs w:val="24"/>
        </w:rPr>
      </w:pPr>
      <w:r w:rsidRPr="00B63E30">
        <w:rPr>
          <w:rFonts w:cs="Arial"/>
          <w:szCs w:val="24"/>
        </w:rPr>
        <w:tab/>
      </w:r>
    </w:p>
    <w:p w:rsidR="009F4268" w:rsidRPr="00F57EC6" w:rsidRDefault="009F4268" w:rsidP="001E245B">
      <w:pPr>
        <w:tabs>
          <w:tab w:val="right" w:leader="underscore" w:pos="9072"/>
        </w:tabs>
        <w:rPr>
          <w:rFonts w:cs="Arial"/>
          <w:color w:val="3366FF"/>
          <w:szCs w:val="24"/>
        </w:rPr>
      </w:pPr>
    </w:p>
    <w:p w:rsidR="009F4268" w:rsidRDefault="009F4268" w:rsidP="001E245B">
      <w:pPr>
        <w:tabs>
          <w:tab w:val="left" w:pos="2700"/>
          <w:tab w:val="left" w:pos="5040"/>
          <w:tab w:val="left" w:pos="6300"/>
          <w:tab w:val="right" w:leader="underscore" w:pos="9072"/>
        </w:tabs>
        <w:rPr>
          <w:rFonts w:cs="Arial"/>
          <w:szCs w:val="24"/>
        </w:rPr>
      </w:pPr>
      <w:r w:rsidRPr="0076153C">
        <w:rPr>
          <w:rFonts w:cs="Arial"/>
          <w:szCs w:val="24"/>
        </w:rPr>
        <w:t>CONTACT OFFICER:</w:t>
      </w:r>
      <w:r w:rsidRPr="0076153C">
        <w:rPr>
          <w:rFonts w:cs="Arial"/>
          <w:szCs w:val="24"/>
        </w:rPr>
        <w:tab/>
      </w:r>
      <w:r w:rsidR="00D44C64">
        <w:rPr>
          <w:rFonts w:cs="Arial"/>
          <w:szCs w:val="24"/>
        </w:rPr>
        <w:t>Chris Findley</w:t>
      </w:r>
      <w:r w:rsidRPr="0076153C">
        <w:rPr>
          <w:rFonts w:cs="Arial"/>
          <w:szCs w:val="24"/>
        </w:rPr>
        <w:tab/>
        <w:t>TEL. NO.</w:t>
      </w:r>
      <w:r w:rsidRPr="0076153C">
        <w:rPr>
          <w:rFonts w:cs="Arial"/>
          <w:szCs w:val="24"/>
        </w:rPr>
        <w:tab/>
      </w:r>
      <w:r w:rsidR="000B51AC" w:rsidRPr="0076153C">
        <w:rPr>
          <w:rFonts w:cs="Arial"/>
          <w:szCs w:val="24"/>
        </w:rPr>
        <w:t>0161</w:t>
      </w:r>
      <w:r w:rsidR="00D44C64">
        <w:rPr>
          <w:rFonts w:cs="Arial"/>
          <w:szCs w:val="24"/>
        </w:rPr>
        <w:t xml:space="preserve"> 793 3654</w:t>
      </w:r>
    </w:p>
    <w:p w:rsidR="00D44C64" w:rsidRPr="0076153C" w:rsidRDefault="00D44C64" w:rsidP="001E245B">
      <w:pPr>
        <w:tabs>
          <w:tab w:val="left" w:pos="2700"/>
          <w:tab w:val="left" w:pos="5040"/>
          <w:tab w:val="left" w:pos="6300"/>
          <w:tab w:val="right" w:leader="underscore" w:pos="9072"/>
        </w:tabs>
        <w:rPr>
          <w:rFonts w:cs="Arial"/>
          <w:szCs w:val="24"/>
        </w:rPr>
      </w:pPr>
      <w:r>
        <w:rPr>
          <w:rFonts w:cs="Arial"/>
          <w:szCs w:val="24"/>
        </w:rPr>
        <w:tab/>
      </w:r>
      <w:proofErr w:type="gramStart"/>
      <w:r w:rsidR="003747E5">
        <w:rPr>
          <w:rFonts w:cs="Arial"/>
          <w:szCs w:val="24"/>
        </w:rPr>
        <w:t>Fiona Fryer</w:t>
      </w:r>
      <w:r>
        <w:rPr>
          <w:rFonts w:cs="Arial"/>
          <w:szCs w:val="24"/>
        </w:rPr>
        <w:tab/>
        <w:t>TEL. NO.</w:t>
      </w:r>
      <w:proofErr w:type="gramEnd"/>
      <w:r>
        <w:rPr>
          <w:rFonts w:cs="Arial"/>
          <w:szCs w:val="24"/>
        </w:rPr>
        <w:tab/>
        <w:t>0161 793 3</w:t>
      </w:r>
      <w:r w:rsidR="003747E5">
        <w:rPr>
          <w:rFonts w:cs="Arial"/>
          <w:szCs w:val="24"/>
        </w:rPr>
        <w:t>659</w:t>
      </w:r>
    </w:p>
    <w:p w:rsidR="009F4268" w:rsidRPr="0076153C" w:rsidRDefault="009F4268" w:rsidP="001E245B">
      <w:pPr>
        <w:tabs>
          <w:tab w:val="right" w:leader="underscore" w:pos="9072"/>
        </w:tabs>
        <w:rPr>
          <w:rFonts w:cs="Arial"/>
          <w:szCs w:val="24"/>
        </w:rPr>
      </w:pPr>
      <w:r w:rsidRPr="0076153C">
        <w:rPr>
          <w:rFonts w:cs="Arial"/>
          <w:szCs w:val="24"/>
        </w:rPr>
        <w:tab/>
      </w:r>
    </w:p>
    <w:p w:rsidR="009F4268" w:rsidRPr="0076153C" w:rsidRDefault="009F4268" w:rsidP="001E245B">
      <w:pPr>
        <w:tabs>
          <w:tab w:val="right" w:leader="underscore" w:pos="9072"/>
        </w:tabs>
        <w:rPr>
          <w:rFonts w:cs="Arial"/>
          <w:szCs w:val="24"/>
        </w:rPr>
      </w:pPr>
    </w:p>
    <w:p w:rsidR="000C1B62" w:rsidRDefault="009F4268" w:rsidP="000C1B62">
      <w:pPr>
        <w:tabs>
          <w:tab w:val="left" w:pos="5130"/>
          <w:tab w:val="right" w:leader="underscore" w:pos="9072"/>
        </w:tabs>
        <w:rPr>
          <w:rFonts w:cs="Arial"/>
          <w:szCs w:val="24"/>
        </w:rPr>
      </w:pPr>
      <w:r w:rsidRPr="0076153C">
        <w:rPr>
          <w:rFonts w:cs="Arial"/>
          <w:szCs w:val="24"/>
        </w:rPr>
        <w:t>WARD(S) TO WHICH REPORT RELATE(S):</w:t>
      </w:r>
      <w:r w:rsidR="000C1B62">
        <w:rPr>
          <w:rFonts w:cs="Arial"/>
          <w:szCs w:val="24"/>
        </w:rPr>
        <w:t xml:space="preserve"> The Greater Manchester Joint </w:t>
      </w:r>
      <w:r w:rsidR="003747E5">
        <w:rPr>
          <w:rFonts w:cs="Arial"/>
          <w:szCs w:val="24"/>
        </w:rPr>
        <w:t>Minerals</w:t>
      </w:r>
      <w:r w:rsidR="000C1B62">
        <w:rPr>
          <w:rFonts w:cs="Arial"/>
          <w:szCs w:val="24"/>
        </w:rPr>
        <w:t xml:space="preserve"> Development Plan Document covers the administrative area of the ten Greater Manchester districts. In relation to Salford its scope is therefore citywide. </w:t>
      </w:r>
      <w:r w:rsidR="0085258B">
        <w:rPr>
          <w:rFonts w:cs="Arial"/>
          <w:szCs w:val="24"/>
        </w:rPr>
        <w:t xml:space="preserve">The document does however have particular importance to the wards of </w:t>
      </w:r>
      <w:proofErr w:type="spellStart"/>
      <w:r w:rsidR="0085258B">
        <w:rPr>
          <w:rFonts w:cs="Arial"/>
          <w:szCs w:val="24"/>
        </w:rPr>
        <w:t>Irlam</w:t>
      </w:r>
      <w:proofErr w:type="spellEnd"/>
      <w:r w:rsidR="0085258B">
        <w:rPr>
          <w:rFonts w:cs="Arial"/>
          <w:szCs w:val="24"/>
        </w:rPr>
        <w:t xml:space="preserve"> and </w:t>
      </w:r>
      <w:proofErr w:type="spellStart"/>
      <w:r w:rsidR="0085258B">
        <w:rPr>
          <w:rFonts w:cs="Arial"/>
          <w:szCs w:val="24"/>
        </w:rPr>
        <w:t>Cadishead</w:t>
      </w:r>
      <w:proofErr w:type="spellEnd"/>
      <w:r w:rsidR="0085258B">
        <w:rPr>
          <w:rFonts w:cs="Arial"/>
          <w:szCs w:val="24"/>
        </w:rPr>
        <w:t>, due to the presence of peat and gravel in those wards.</w:t>
      </w:r>
    </w:p>
    <w:p w:rsidR="009F4268" w:rsidRDefault="009F4268" w:rsidP="001E245B">
      <w:pPr>
        <w:tabs>
          <w:tab w:val="right" w:leader="underscore" w:pos="9072"/>
        </w:tabs>
        <w:rPr>
          <w:rFonts w:cs="Arial"/>
          <w:szCs w:val="24"/>
        </w:rPr>
      </w:pPr>
      <w:r w:rsidRPr="0076153C">
        <w:rPr>
          <w:rFonts w:cs="Arial"/>
          <w:szCs w:val="24"/>
        </w:rPr>
        <w:tab/>
      </w:r>
    </w:p>
    <w:p w:rsidR="00FC62D5" w:rsidRPr="0076153C" w:rsidRDefault="00FC62D5" w:rsidP="000C13DE">
      <w:pPr>
        <w:tabs>
          <w:tab w:val="left" w:pos="7500"/>
        </w:tabs>
      </w:pPr>
    </w:p>
    <w:sectPr w:rsidR="00FC62D5" w:rsidRPr="0076153C" w:rsidSect="00A42428">
      <w:footerReference w:type="even" r:id="rId7"/>
      <w:footerReference w:type="default" r:id="rId8"/>
      <w:pgSz w:w="11906" w:h="16838"/>
      <w:pgMar w:top="1440" w:right="1247" w:bottom="144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115" w:rsidRDefault="00F60115">
      <w:r>
        <w:separator/>
      </w:r>
    </w:p>
  </w:endnote>
  <w:endnote w:type="continuationSeparator" w:id="0">
    <w:p w:rsidR="00F60115" w:rsidRDefault="00F60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A2" w:rsidRDefault="00C977A2" w:rsidP="000C13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77A2" w:rsidRDefault="00C977A2" w:rsidP="000C13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A2" w:rsidRDefault="00C977A2" w:rsidP="000C13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253B">
      <w:rPr>
        <w:rStyle w:val="PageNumber"/>
        <w:noProof/>
      </w:rPr>
      <w:t>5</w:t>
    </w:r>
    <w:r>
      <w:rPr>
        <w:rStyle w:val="PageNumber"/>
      </w:rPr>
      <w:fldChar w:fldCharType="end"/>
    </w:r>
  </w:p>
  <w:p w:rsidR="00C977A2" w:rsidRPr="002A1EA6" w:rsidRDefault="00C977A2" w:rsidP="000C13DE">
    <w:pPr>
      <w:pStyle w:val="Footer"/>
      <w:ind w:right="360"/>
      <w:rPr>
        <w:rFonts w:cs="Arial"/>
        <w:sz w:val="20"/>
      </w:rPr>
    </w:pPr>
    <w:r w:rsidRPr="002A1EA6">
      <w:rPr>
        <w:rFonts w:cs="Arial"/>
        <w:sz w:val="20"/>
      </w:rPr>
      <w:t xml:space="preserve">Greater Manchester </w:t>
    </w:r>
    <w:r>
      <w:rPr>
        <w:rFonts w:cs="Arial"/>
        <w:sz w:val="20"/>
      </w:rPr>
      <w:t>Minerals</w:t>
    </w:r>
    <w:r w:rsidRPr="002A1EA6">
      <w:rPr>
        <w:rFonts w:cs="Arial"/>
        <w:sz w:val="20"/>
      </w:rPr>
      <w:t xml:space="preserve"> Plan </w:t>
    </w:r>
    <w:r>
      <w:rPr>
        <w:rFonts w:cs="Arial"/>
        <w:sz w:val="20"/>
      </w:rPr>
      <w:t>Minor Modifications March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115" w:rsidRDefault="00F60115">
      <w:r>
        <w:separator/>
      </w:r>
    </w:p>
  </w:footnote>
  <w:footnote w:type="continuationSeparator" w:id="0">
    <w:p w:rsidR="00F60115" w:rsidRDefault="00F601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5B5"/>
    <w:multiLevelType w:val="multilevel"/>
    <w:tmpl w:val="6382101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F15D58"/>
    <w:multiLevelType w:val="multilevel"/>
    <w:tmpl w:val="F94ECD6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19A30A5"/>
    <w:multiLevelType w:val="hybridMultilevel"/>
    <w:tmpl w:val="EDCC63F6"/>
    <w:lvl w:ilvl="0" w:tplc="CE46E806">
      <w:start w:val="1"/>
      <w:numFmt w:val="bullet"/>
      <w:lvlText w:val=""/>
      <w:lvlJc w:val="left"/>
      <w:pPr>
        <w:tabs>
          <w:tab w:val="num" w:pos="1440"/>
        </w:tabs>
        <w:ind w:left="1440" w:hanging="360"/>
      </w:pPr>
      <w:rPr>
        <w:rFonts w:ascii="Symbol" w:hAnsi="Symbol" w:hint="default"/>
        <w:color w:val="00000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22B4E78"/>
    <w:multiLevelType w:val="multilevel"/>
    <w:tmpl w:val="4D56335C"/>
    <w:lvl w:ilvl="0">
      <w:start w:val="3"/>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800"/>
        </w:tabs>
        <w:ind w:left="1800" w:hanging="144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2160"/>
        </w:tabs>
        <w:ind w:left="2160" w:hanging="180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4">
    <w:nsid w:val="03644EE4"/>
    <w:multiLevelType w:val="hybridMultilevel"/>
    <w:tmpl w:val="73BA3400"/>
    <w:lvl w:ilvl="0" w:tplc="535AF6A0">
      <w:start w:val="1"/>
      <w:numFmt w:val="decimal"/>
      <w:lvlText w:val="4.%1"/>
      <w:lvlJc w:val="left"/>
      <w:pPr>
        <w:tabs>
          <w:tab w:val="num" w:pos="720"/>
        </w:tabs>
        <w:ind w:left="720" w:hanging="360"/>
      </w:pPr>
      <w:rPr>
        <w:rFonts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38713AA"/>
    <w:multiLevelType w:val="multilevel"/>
    <w:tmpl w:val="136EE6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357275"/>
    <w:multiLevelType w:val="hybridMultilevel"/>
    <w:tmpl w:val="3524FB60"/>
    <w:lvl w:ilvl="0" w:tplc="2F762F6A">
      <w:start w:val="1"/>
      <w:numFmt w:val="decimal"/>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06A5BA7"/>
    <w:multiLevelType w:val="hybridMultilevel"/>
    <w:tmpl w:val="CE842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4291DD0"/>
    <w:multiLevelType w:val="multilevel"/>
    <w:tmpl w:val="E9C03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BE01B9"/>
    <w:multiLevelType w:val="hybridMultilevel"/>
    <w:tmpl w:val="8CA29A6A"/>
    <w:lvl w:ilvl="0" w:tplc="08090011">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nsid w:val="16D5319F"/>
    <w:multiLevelType w:val="multilevel"/>
    <w:tmpl w:val="136EE6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403613"/>
    <w:multiLevelType w:val="multilevel"/>
    <w:tmpl w:val="713218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C265C7B"/>
    <w:multiLevelType w:val="multilevel"/>
    <w:tmpl w:val="9836F6C4"/>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2C770946"/>
    <w:multiLevelType w:val="hybridMultilevel"/>
    <w:tmpl w:val="4062431C"/>
    <w:lvl w:ilvl="0" w:tplc="630E80AE">
      <w:start w:val="1"/>
      <w:numFmt w:val="decimal"/>
      <w:lvlText w:val="2.%1"/>
      <w:lvlJc w:val="left"/>
      <w:pPr>
        <w:tabs>
          <w:tab w:val="num" w:pos="720"/>
        </w:tabs>
        <w:ind w:left="720" w:hanging="360"/>
      </w:pPr>
      <w:rPr>
        <w:rFonts w:ascii="Arial" w:hAnsi="Arial" w:hint="default"/>
        <w:b w:val="0"/>
        <w:i w:val="0"/>
        <w:color w:val="auto"/>
        <w:sz w:val="24"/>
      </w:rPr>
    </w:lvl>
    <w:lvl w:ilvl="1" w:tplc="D1BEE9B2">
      <w:start w:val="1"/>
      <w:numFmt w:val="decimal"/>
      <w:lvlText w:val="%2)"/>
      <w:lvlJc w:val="left"/>
      <w:pPr>
        <w:tabs>
          <w:tab w:val="num" w:pos="1440"/>
        </w:tabs>
        <w:ind w:left="1440" w:hanging="360"/>
      </w:pPr>
      <w:rPr>
        <w:rFonts w:hint="default"/>
        <w:b w:val="0"/>
        <w:i w:val="0"/>
        <w:color w:val="auto"/>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FE111A7"/>
    <w:multiLevelType w:val="hybridMultilevel"/>
    <w:tmpl w:val="B846DCAC"/>
    <w:lvl w:ilvl="0" w:tplc="CE46E806">
      <w:start w:val="1"/>
      <w:numFmt w:val="bullet"/>
      <w:lvlText w:val=""/>
      <w:lvlJc w:val="left"/>
      <w:pPr>
        <w:tabs>
          <w:tab w:val="num" w:pos="1440"/>
        </w:tabs>
        <w:ind w:left="1440" w:hanging="360"/>
      </w:pPr>
      <w:rPr>
        <w:rFonts w:ascii="Symbol" w:hAnsi="Symbol" w:hint="default"/>
        <w:color w:val="00000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FE097C"/>
    <w:multiLevelType w:val="multilevel"/>
    <w:tmpl w:val="C776B6AE"/>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32F4799"/>
    <w:multiLevelType w:val="multilevel"/>
    <w:tmpl w:val="05B8B9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3574F4F"/>
    <w:multiLevelType w:val="multilevel"/>
    <w:tmpl w:val="E18AF35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56A6932"/>
    <w:multiLevelType w:val="hybridMultilevel"/>
    <w:tmpl w:val="E99A5B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5745583"/>
    <w:multiLevelType w:val="multilevel"/>
    <w:tmpl w:val="895897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FD7A28"/>
    <w:multiLevelType w:val="multilevel"/>
    <w:tmpl w:val="136EE6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6533FCF"/>
    <w:multiLevelType w:val="hybridMultilevel"/>
    <w:tmpl w:val="935825FE"/>
    <w:lvl w:ilvl="0" w:tplc="C4FA25EC">
      <w:start w:val="1"/>
      <w:numFmt w:val="decimal"/>
      <w:lvlText w:val="5.%1"/>
      <w:lvlJc w:val="left"/>
      <w:pPr>
        <w:tabs>
          <w:tab w:val="num" w:pos="720"/>
        </w:tabs>
        <w:ind w:left="720" w:hanging="360"/>
      </w:pPr>
      <w:rPr>
        <w:rFonts w:hint="default"/>
        <w:b w:val="0"/>
        <w:i w:val="0"/>
      </w:rPr>
    </w:lvl>
    <w:lvl w:ilvl="1" w:tplc="CE46E806">
      <w:start w:val="1"/>
      <w:numFmt w:val="bullet"/>
      <w:lvlText w:val=""/>
      <w:lvlJc w:val="left"/>
      <w:pPr>
        <w:tabs>
          <w:tab w:val="num" w:pos="1440"/>
        </w:tabs>
        <w:ind w:left="1440" w:hanging="360"/>
      </w:pPr>
      <w:rPr>
        <w:rFonts w:ascii="Symbol" w:hAnsi="Symbol" w:hint="default"/>
        <w:b w:val="0"/>
        <w:i w:val="0"/>
        <w:color w:val="000000"/>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1483304"/>
    <w:multiLevelType w:val="multilevel"/>
    <w:tmpl w:val="6382101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2FF7BB1"/>
    <w:multiLevelType w:val="multilevel"/>
    <w:tmpl w:val="136EE6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9F2189E"/>
    <w:multiLevelType w:val="hybridMultilevel"/>
    <w:tmpl w:val="4146AF80"/>
    <w:lvl w:ilvl="0" w:tplc="218ECD0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A236B72"/>
    <w:multiLevelType w:val="hybridMultilevel"/>
    <w:tmpl w:val="8DE645FC"/>
    <w:lvl w:ilvl="0" w:tplc="CE46E806">
      <w:start w:val="1"/>
      <w:numFmt w:val="bullet"/>
      <w:lvlText w:val=""/>
      <w:lvlJc w:val="left"/>
      <w:pPr>
        <w:tabs>
          <w:tab w:val="num" w:pos="1440"/>
        </w:tabs>
        <w:ind w:left="1440" w:hanging="360"/>
      </w:pPr>
      <w:rPr>
        <w:rFonts w:ascii="Symbol" w:hAnsi="Symbol" w:hint="default"/>
        <w:color w:val="00000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BC1752A"/>
    <w:multiLevelType w:val="multilevel"/>
    <w:tmpl w:val="E64EFBF0"/>
    <w:lvl w:ilvl="0">
      <w:start w:val="1"/>
      <w:numFmt w:val="decimal"/>
      <w:lvlText w:val="%1"/>
      <w:lvlJc w:val="left"/>
      <w:pPr>
        <w:tabs>
          <w:tab w:val="num" w:pos="360"/>
        </w:tabs>
        <w:ind w:left="360" w:hanging="360"/>
      </w:pPr>
      <w:rPr>
        <w:rFonts w:hint="default"/>
        <w:u w:val="none"/>
      </w:rPr>
    </w:lvl>
    <w:lvl w:ilvl="1">
      <w:start w:val="1"/>
      <w:numFmt w:val="decimal"/>
      <w:isLgl/>
      <w:lvlText w:val="%1.%2"/>
      <w:lvlJc w:val="left"/>
      <w:pPr>
        <w:tabs>
          <w:tab w:val="num" w:pos="1440"/>
        </w:tabs>
        <w:ind w:left="1440" w:hanging="1440"/>
      </w:pPr>
      <w:rPr>
        <w:rFonts w:hint="default"/>
      </w:rPr>
    </w:lvl>
    <w:lvl w:ilvl="2">
      <w:start w:val="1"/>
      <w:numFmt w:val="decimal"/>
      <w:isLgl/>
      <w:lvlText w:val="%1.%2.%3"/>
      <w:lvlJc w:val="left"/>
      <w:pPr>
        <w:tabs>
          <w:tab w:val="num" w:pos="1440"/>
        </w:tabs>
        <w:ind w:left="1440" w:hanging="144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4F676AB5"/>
    <w:multiLevelType w:val="multilevel"/>
    <w:tmpl w:val="E99A5B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1B975F9"/>
    <w:multiLevelType w:val="hybridMultilevel"/>
    <w:tmpl w:val="4888F316"/>
    <w:lvl w:ilvl="0" w:tplc="CE46E806">
      <w:start w:val="1"/>
      <w:numFmt w:val="bullet"/>
      <w:lvlText w:val=""/>
      <w:lvlJc w:val="left"/>
      <w:pPr>
        <w:tabs>
          <w:tab w:val="num" w:pos="1440"/>
        </w:tabs>
        <w:ind w:left="1440" w:hanging="360"/>
      </w:pPr>
      <w:rPr>
        <w:rFonts w:ascii="Symbol" w:hAnsi="Symbol" w:hint="default"/>
        <w:color w:val="00000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4A211F3"/>
    <w:multiLevelType w:val="multilevel"/>
    <w:tmpl w:val="7B84DE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B550CA4"/>
    <w:multiLevelType w:val="multilevel"/>
    <w:tmpl w:val="A21455C8"/>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FD83610"/>
    <w:multiLevelType w:val="multilevel"/>
    <w:tmpl w:val="6382101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0B00138"/>
    <w:multiLevelType w:val="hybridMultilevel"/>
    <w:tmpl w:val="CDDE5934"/>
    <w:lvl w:ilvl="0" w:tplc="5D4C9E2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13A446E"/>
    <w:multiLevelType w:val="multilevel"/>
    <w:tmpl w:val="EDD6AB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1FC3C73"/>
    <w:multiLevelType w:val="hybridMultilevel"/>
    <w:tmpl w:val="72E43278"/>
    <w:lvl w:ilvl="0" w:tplc="218EBBC0">
      <w:start w:val="5"/>
      <w:numFmt w:val="decimal"/>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2D00F84"/>
    <w:multiLevelType w:val="multilevel"/>
    <w:tmpl w:val="277045AA"/>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nsid w:val="64C53710"/>
    <w:multiLevelType w:val="hybridMultilevel"/>
    <w:tmpl w:val="8BD0296C"/>
    <w:lvl w:ilvl="0" w:tplc="C430EC06">
      <w:start w:val="1"/>
      <w:numFmt w:val="decimal"/>
      <w:lvlText w:val="%1)"/>
      <w:lvlJc w:val="left"/>
      <w:pPr>
        <w:tabs>
          <w:tab w:val="num" w:pos="720"/>
        </w:tabs>
        <w:ind w:left="720" w:hanging="360"/>
      </w:pPr>
      <w:rPr>
        <w:rFonts w:hint="default"/>
      </w:rPr>
    </w:lvl>
    <w:lvl w:ilvl="1" w:tplc="08090011">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5C45491"/>
    <w:multiLevelType w:val="hybridMultilevel"/>
    <w:tmpl w:val="FA260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3E3618"/>
    <w:multiLevelType w:val="multilevel"/>
    <w:tmpl w:val="F82E7E56"/>
    <w:lvl w:ilvl="0">
      <w:start w:val="1"/>
      <w:numFmt w:val="bullet"/>
      <w:lvlText w:val=""/>
      <w:lvlJc w:val="left"/>
      <w:pPr>
        <w:tabs>
          <w:tab w:val="num" w:pos="1260"/>
        </w:tabs>
        <w:ind w:left="1260" w:hanging="360"/>
      </w:pPr>
      <w:rPr>
        <w:rFonts w:ascii="Symbol" w:hAnsi="Symbol"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700"/>
        </w:tabs>
        <w:ind w:left="2700" w:hanging="1800"/>
      </w:pPr>
      <w:rPr>
        <w:rFonts w:hint="default"/>
      </w:rPr>
    </w:lvl>
    <w:lvl w:ilvl="8">
      <w:start w:val="1"/>
      <w:numFmt w:val="decimal"/>
      <w:lvlText w:val="%1.%2.%3.%4.%5.%6.%7.%8.%9"/>
      <w:lvlJc w:val="left"/>
      <w:pPr>
        <w:tabs>
          <w:tab w:val="num" w:pos="2700"/>
        </w:tabs>
        <w:ind w:left="2700" w:hanging="1800"/>
      </w:pPr>
      <w:rPr>
        <w:rFonts w:hint="default"/>
      </w:rPr>
    </w:lvl>
  </w:abstractNum>
  <w:abstractNum w:abstractNumId="39">
    <w:nsid w:val="6A5167FA"/>
    <w:multiLevelType w:val="hybridMultilevel"/>
    <w:tmpl w:val="3BC2FE4E"/>
    <w:lvl w:ilvl="0" w:tplc="2112106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CA54090"/>
    <w:multiLevelType w:val="hybridMultilevel"/>
    <w:tmpl w:val="22660C8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1">
    <w:nsid w:val="6E1B6117"/>
    <w:multiLevelType w:val="multilevel"/>
    <w:tmpl w:val="BF6AF7D4"/>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E2D1663"/>
    <w:multiLevelType w:val="multilevel"/>
    <w:tmpl w:val="E4DAFD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18C4BA2"/>
    <w:multiLevelType w:val="multilevel"/>
    <w:tmpl w:val="5A16552A"/>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4B2335A"/>
    <w:multiLevelType w:val="multilevel"/>
    <w:tmpl w:val="3014F5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8495F65"/>
    <w:multiLevelType w:val="multilevel"/>
    <w:tmpl w:val="6382101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B3B4FF9"/>
    <w:multiLevelType w:val="multilevel"/>
    <w:tmpl w:val="136EE6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E6664C5"/>
    <w:multiLevelType w:val="multilevel"/>
    <w:tmpl w:val="D95425A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F8E3E54"/>
    <w:multiLevelType w:val="multilevel"/>
    <w:tmpl w:val="E18AF35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6"/>
  </w:num>
  <w:num w:numId="2">
    <w:abstractNumId w:val="25"/>
  </w:num>
  <w:num w:numId="3">
    <w:abstractNumId w:val="42"/>
  </w:num>
  <w:num w:numId="4">
    <w:abstractNumId w:val="6"/>
  </w:num>
  <w:num w:numId="5">
    <w:abstractNumId w:val="14"/>
  </w:num>
  <w:num w:numId="6">
    <w:abstractNumId w:val="28"/>
  </w:num>
  <w:num w:numId="7">
    <w:abstractNumId w:val="13"/>
  </w:num>
  <w:num w:numId="8">
    <w:abstractNumId w:val="3"/>
  </w:num>
  <w:num w:numId="9">
    <w:abstractNumId w:val="4"/>
  </w:num>
  <w:num w:numId="10">
    <w:abstractNumId w:val="2"/>
  </w:num>
  <w:num w:numId="11">
    <w:abstractNumId w:val="34"/>
  </w:num>
  <w:num w:numId="12">
    <w:abstractNumId w:val="47"/>
  </w:num>
  <w:num w:numId="13">
    <w:abstractNumId w:val="21"/>
  </w:num>
  <w:num w:numId="14">
    <w:abstractNumId w:val="40"/>
  </w:num>
  <w:num w:numId="15">
    <w:abstractNumId w:val="11"/>
  </w:num>
  <w:num w:numId="16">
    <w:abstractNumId w:val="9"/>
  </w:num>
  <w:num w:numId="17">
    <w:abstractNumId w:val="26"/>
  </w:num>
  <w:num w:numId="18">
    <w:abstractNumId w:val="16"/>
  </w:num>
  <w:num w:numId="19">
    <w:abstractNumId w:val="38"/>
  </w:num>
  <w:num w:numId="20">
    <w:abstractNumId w:val="29"/>
  </w:num>
  <w:num w:numId="21">
    <w:abstractNumId w:val="19"/>
  </w:num>
  <w:num w:numId="22">
    <w:abstractNumId w:val="44"/>
  </w:num>
  <w:num w:numId="23">
    <w:abstractNumId w:val="33"/>
  </w:num>
  <w:num w:numId="24">
    <w:abstractNumId w:val="37"/>
  </w:num>
  <w:num w:numId="25">
    <w:abstractNumId w:val="35"/>
  </w:num>
  <w:num w:numId="26">
    <w:abstractNumId w:val="5"/>
  </w:num>
  <w:num w:numId="27">
    <w:abstractNumId w:val="46"/>
  </w:num>
  <w:num w:numId="28">
    <w:abstractNumId w:val="12"/>
  </w:num>
  <w:num w:numId="29">
    <w:abstractNumId w:val="20"/>
  </w:num>
  <w:num w:numId="30">
    <w:abstractNumId w:val="10"/>
  </w:num>
  <w:num w:numId="31">
    <w:abstractNumId w:val="23"/>
  </w:num>
  <w:num w:numId="32">
    <w:abstractNumId w:val="45"/>
  </w:num>
  <w:num w:numId="33">
    <w:abstractNumId w:val="31"/>
  </w:num>
  <w:num w:numId="34">
    <w:abstractNumId w:val="17"/>
  </w:num>
  <w:num w:numId="35">
    <w:abstractNumId w:val="43"/>
  </w:num>
  <w:num w:numId="36">
    <w:abstractNumId w:val="30"/>
  </w:num>
  <w:num w:numId="37">
    <w:abstractNumId w:val="48"/>
  </w:num>
  <w:num w:numId="38">
    <w:abstractNumId w:val="22"/>
  </w:num>
  <w:num w:numId="39">
    <w:abstractNumId w:val="0"/>
  </w:num>
  <w:num w:numId="40">
    <w:abstractNumId w:val="41"/>
  </w:num>
  <w:num w:numId="41">
    <w:abstractNumId w:val="1"/>
  </w:num>
  <w:num w:numId="42">
    <w:abstractNumId w:val="15"/>
  </w:num>
  <w:num w:numId="43">
    <w:abstractNumId w:val="7"/>
  </w:num>
  <w:num w:numId="44">
    <w:abstractNumId w:val="8"/>
  </w:num>
  <w:num w:numId="45">
    <w:abstractNumId w:val="39"/>
  </w:num>
  <w:num w:numId="46">
    <w:abstractNumId w:val="24"/>
  </w:num>
  <w:num w:numId="47">
    <w:abstractNumId w:val="18"/>
  </w:num>
  <w:num w:numId="48">
    <w:abstractNumId w:val="27"/>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1333F"/>
    <w:rsid w:val="00000054"/>
    <w:rsid w:val="000004A2"/>
    <w:rsid w:val="000201FC"/>
    <w:rsid w:val="0002750B"/>
    <w:rsid w:val="00027D06"/>
    <w:rsid w:val="00032BFC"/>
    <w:rsid w:val="00037DB4"/>
    <w:rsid w:val="00041459"/>
    <w:rsid w:val="00042FA3"/>
    <w:rsid w:val="0004607A"/>
    <w:rsid w:val="00053C08"/>
    <w:rsid w:val="00055DE9"/>
    <w:rsid w:val="000566B8"/>
    <w:rsid w:val="00065C8D"/>
    <w:rsid w:val="00067111"/>
    <w:rsid w:val="0007308F"/>
    <w:rsid w:val="0008109A"/>
    <w:rsid w:val="000818B6"/>
    <w:rsid w:val="00081DAE"/>
    <w:rsid w:val="00083628"/>
    <w:rsid w:val="000969C9"/>
    <w:rsid w:val="000975F9"/>
    <w:rsid w:val="000A2F38"/>
    <w:rsid w:val="000A318E"/>
    <w:rsid w:val="000A6597"/>
    <w:rsid w:val="000B0214"/>
    <w:rsid w:val="000B3EF3"/>
    <w:rsid w:val="000B5041"/>
    <w:rsid w:val="000B51AC"/>
    <w:rsid w:val="000B5681"/>
    <w:rsid w:val="000B58E4"/>
    <w:rsid w:val="000B5E44"/>
    <w:rsid w:val="000C13DE"/>
    <w:rsid w:val="000C1B62"/>
    <w:rsid w:val="000C2693"/>
    <w:rsid w:val="000D1A40"/>
    <w:rsid w:val="000E264C"/>
    <w:rsid w:val="000E40A0"/>
    <w:rsid w:val="000E7D11"/>
    <w:rsid w:val="000F47DD"/>
    <w:rsid w:val="000F618B"/>
    <w:rsid w:val="00100B67"/>
    <w:rsid w:val="00102137"/>
    <w:rsid w:val="0010223E"/>
    <w:rsid w:val="00103DC7"/>
    <w:rsid w:val="0010540B"/>
    <w:rsid w:val="001054C9"/>
    <w:rsid w:val="001167C7"/>
    <w:rsid w:val="00126D3B"/>
    <w:rsid w:val="00126EB7"/>
    <w:rsid w:val="001315C0"/>
    <w:rsid w:val="001318BD"/>
    <w:rsid w:val="00137603"/>
    <w:rsid w:val="001428F1"/>
    <w:rsid w:val="00142F8E"/>
    <w:rsid w:val="00143FFF"/>
    <w:rsid w:val="001508A0"/>
    <w:rsid w:val="00151166"/>
    <w:rsid w:val="001547FB"/>
    <w:rsid w:val="001576FC"/>
    <w:rsid w:val="001621AD"/>
    <w:rsid w:val="001668F6"/>
    <w:rsid w:val="0017530B"/>
    <w:rsid w:val="001802D3"/>
    <w:rsid w:val="001860B9"/>
    <w:rsid w:val="00186F0A"/>
    <w:rsid w:val="001931F5"/>
    <w:rsid w:val="001960AC"/>
    <w:rsid w:val="00197611"/>
    <w:rsid w:val="001A03BE"/>
    <w:rsid w:val="001A480F"/>
    <w:rsid w:val="001A7EDB"/>
    <w:rsid w:val="001B1755"/>
    <w:rsid w:val="001B1EE4"/>
    <w:rsid w:val="001E245B"/>
    <w:rsid w:val="001E52DD"/>
    <w:rsid w:val="00201BC0"/>
    <w:rsid w:val="002024D4"/>
    <w:rsid w:val="002148C4"/>
    <w:rsid w:val="00216D87"/>
    <w:rsid w:val="00217DAA"/>
    <w:rsid w:val="00220AB0"/>
    <w:rsid w:val="0022604D"/>
    <w:rsid w:val="00233E43"/>
    <w:rsid w:val="00244FCB"/>
    <w:rsid w:val="00254F10"/>
    <w:rsid w:val="0026388F"/>
    <w:rsid w:val="00272DA4"/>
    <w:rsid w:val="00276209"/>
    <w:rsid w:val="00277749"/>
    <w:rsid w:val="00280E00"/>
    <w:rsid w:val="00287210"/>
    <w:rsid w:val="002876C0"/>
    <w:rsid w:val="00295D19"/>
    <w:rsid w:val="002A23AD"/>
    <w:rsid w:val="002A4254"/>
    <w:rsid w:val="002A4417"/>
    <w:rsid w:val="002B46F8"/>
    <w:rsid w:val="002B4B0B"/>
    <w:rsid w:val="002C4B3E"/>
    <w:rsid w:val="002C5FD1"/>
    <w:rsid w:val="002D5955"/>
    <w:rsid w:val="002D7E1A"/>
    <w:rsid w:val="002E0B30"/>
    <w:rsid w:val="002F19B1"/>
    <w:rsid w:val="002F475C"/>
    <w:rsid w:val="003032EF"/>
    <w:rsid w:val="003068BA"/>
    <w:rsid w:val="003078DF"/>
    <w:rsid w:val="00307E9F"/>
    <w:rsid w:val="00312B73"/>
    <w:rsid w:val="003166AA"/>
    <w:rsid w:val="0032064C"/>
    <w:rsid w:val="00324AEE"/>
    <w:rsid w:val="00330DBB"/>
    <w:rsid w:val="003314B1"/>
    <w:rsid w:val="00332907"/>
    <w:rsid w:val="00335409"/>
    <w:rsid w:val="003471A0"/>
    <w:rsid w:val="00350FFD"/>
    <w:rsid w:val="0035419E"/>
    <w:rsid w:val="00354EAE"/>
    <w:rsid w:val="003553A9"/>
    <w:rsid w:val="003554A0"/>
    <w:rsid w:val="00370EE3"/>
    <w:rsid w:val="003747E5"/>
    <w:rsid w:val="00385D2B"/>
    <w:rsid w:val="00397415"/>
    <w:rsid w:val="003B018B"/>
    <w:rsid w:val="003B22A5"/>
    <w:rsid w:val="003B3934"/>
    <w:rsid w:val="003C3943"/>
    <w:rsid w:val="003D149F"/>
    <w:rsid w:val="003D20FA"/>
    <w:rsid w:val="003D6156"/>
    <w:rsid w:val="003D635B"/>
    <w:rsid w:val="003E5FFF"/>
    <w:rsid w:val="003E7463"/>
    <w:rsid w:val="003F5E14"/>
    <w:rsid w:val="0040014A"/>
    <w:rsid w:val="00403D13"/>
    <w:rsid w:val="00403F41"/>
    <w:rsid w:val="0040569C"/>
    <w:rsid w:val="0041333F"/>
    <w:rsid w:val="004162EF"/>
    <w:rsid w:val="004275A8"/>
    <w:rsid w:val="00430E00"/>
    <w:rsid w:val="0043375C"/>
    <w:rsid w:val="0043542E"/>
    <w:rsid w:val="004376C0"/>
    <w:rsid w:val="004449F9"/>
    <w:rsid w:val="00444B04"/>
    <w:rsid w:val="00447A80"/>
    <w:rsid w:val="004574CF"/>
    <w:rsid w:val="004621C8"/>
    <w:rsid w:val="00474169"/>
    <w:rsid w:val="0047497A"/>
    <w:rsid w:val="00477387"/>
    <w:rsid w:val="00477B10"/>
    <w:rsid w:val="00486C81"/>
    <w:rsid w:val="00490D85"/>
    <w:rsid w:val="00490EEB"/>
    <w:rsid w:val="00493F58"/>
    <w:rsid w:val="0049463D"/>
    <w:rsid w:val="004A0D9D"/>
    <w:rsid w:val="004B0BD8"/>
    <w:rsid w:val="004B14E9"/>
    <w:rsid w:val="004B2320"/>
    <w:rsid w:val="004B238E"/>
    <w:rsid w:val="004B3D31"/>
    <w:rsid w:val="004D132D"/>
    <w:rsid w:val="004D1A27"/>
    <w:rsid w:val="004D1A33"/>
    <w:rsid w:val="004D20B9"/>
    <w:rsid w:val="004D7A2D"/>
    <w:rsid w:val="004E2D88"/>
    <w:rsid w:val="004F7472"/>
    <w:rsid w:val="005034E5"/>
    <w:rsid w:val="00503E31"/>
    <w:rsid w:val="005060DE"/>
    <w:rsid w:val="00510563"/>
    <w:rsid w:val="0051432C"/>
    <w:rsid w:val="0051574B"/>
    <w:rsid w:val="005216EA"/>
    <w:rsid w:val="00524615"/>
    <w:rsid w:val="00524768"/>
    <w:rsid w:val="0053499D"/>
    <w:rsid w:val="00536722"/>
    <w:rsid w:val="00536F1D"/>
    <w:rsid w:val="005405B6"/>
    <w:rsid w:val="00541B7B"/>
    <w:rsid w:val="005505BA"/>
    <w:rsid w:val="005522AD"/>
    <w:rsid w:val="00553B72"/>
    <w:rsid w:val="005564E9"/>
    <w:rsid w:val="005639BB"/>
    <w:rsid w:val="00564242"/>
    <w:rsid w:val="00570C8F"/>
    <w:rsid w:val="00575460"/>
    <w:rsid w:val="0057759A"/>
    <w:rsid w:val="00577F9F"/>
    <w:rsid w:val="005804C5"/>
    <w:rsid w:val="00583CA6"/>
    <w:rsid w:val="00585400"/>
    <w:rsid w:val="00590925"/>
    <w:rsid w:val="00595B06"/>
    <w:rsid w:val="005A4AC6"/>
    <w:rsid w:val="005A5EE3"/>
    <w:rsid w:val="005D3157"/>
    <w:rsid w:val="005D386B"/>
    <w:rsid w:val="005E05E0"/>
    <w:rsid w:val="005E6A68"/>
    <w:rsid w:val="005E75D6"/>
    <w:rsid w:val="005F1F8E"/>
    <w:rsid w:val="005F2195"/>
    <w:rsid w:val="006030E4"/>
    <w:rsid w:val="00607263"/>
    <w:rsid w:val="00614A86"/>
    <w:rsid w:val="00616B81"/>
    <w:rsid w:val="006210B6"/>
    <w:rsid w:val="00626482"/>
    <w:rsid w:val="00627403"/>
    <w:rsid w:val="006372E6"/>
    <w:rsid w:val="00637D0A"/>
    <w:rsid w:val="006439CC"/>
    <w:rsid w:val="00643DD4"/>
    <w:rsid w:val="00647236"/>
    <w:rsid w:val="00647FA6"/>
    <w:rsid w:val="00657C67"/>
    <w:rsid w:val="00660CE1"/>
    <w:rsid w:val="00660D6F"/>
    <w:rsid w:val="0066172D"/>
    <w:rsid w:val="00663D88"/>
    <w:rsid w:val="00666687"/>
    <w:rsid w:val="0067004F"/>
    <w:rsid w:val="0067698F"/>
    <w:rsid w:val="00676D02"/>
    <w:rsid w:val="00695042"/>
    <w:rsid w:val="006977DE"/>
    <w:rsid w:val="006A30DD"/>
    <w:rsid w:val="006A4082"/>
    <w:rsid w:val="006A73B0"/>
    <w:rsid w:val="006B672C"/>
    <w:rsid w:val="006C03BB"/>
    <w:rsid w:val="006C42AC"/>
    <w:rsid w:val="006C7E4D"/>
    <w:rsid w:val="006D5C43"/>
    <w:rsid w:val="00701B53"/>
    <w:rsid w:val="00707C79"/>
    <w:rsid w:val="007135FE"/>
    <w:rsid w:val="00715D33"/>
    <w:rsid w:val="00716A87"/>
    <w:rsid w:val="007206D8"/>
    <w:rsid w:val="007271A3"/>
    <w:rsid w:val="00730C24"/>
    <w:rsid w:val="0075015C"/>
    <w:rsid w:val="007544F6"/>
    <w:rsid w:val="007570E8"/>
    <w:rsid w:val="0076153C"/>
    <w:rsid w:val="00762521"/>
    <w:rsid w:val="00781F26"/>
    <w:rsid w:val="00790710"/>
    <w:rsid w:val="007A162E"/>
    <w:rsid w:val="007B19FE"/>
    <w:rsid w:val="007B28AE"/>
    <w:rsid w:val="007B4129"/>
    <w:rsid w:val="007C75B9"/>
    <w:rsid w:val="007D07D2"/>
    <w:rsid w:val="007D5EF9"/>
    <w:rsid w:val="007E6ABF"/>
    <w:rsid w:val="007F0D4B"/>
    <w:rsid w:val="008020C6"/>
    <w:rsid w:val="008040E5"/>
    <w:rsid w:val="00806EBF"/>
    <w:rsid w:val="00806EDE"/>
    <w:rsid w:val="00807F76"/>
    <w:rsid w:val="00811A74"/>
    <w:rsid w:val="0082049C"/>
    <w:rsid w:val="00822368"/>
    <w:rsid w:val="00822E13"/>
    <w:rsid w:val="008241FC"/>
    <w:rsid w:val="00824248"/>
    <w:rsid w:val="0083683B"/>
    <w:rsid w:val="008434D2"/>
    <w:rsid w:val="008478B6"/>
    <w:rsid w:val="0085258B"/>
    <w:rsid w:val="0085262E"/>
    <w:rsid w:val="00852DBE"/>
    <w:rsid w:val="00860B24"/>
    <w:rsid w:val="0086235D"/>
    <w:rsid w:val="008636DF"/>
    <w:rsid w:val="00873888"/>
    <w:rsid w:val="00877E74"/>
    <w:rsid w:val="008813F0"/>
    <w:rsid w:val="00882852"/>
    <w:rsid w:val="00882C02"/>
    <w:rsid w:val="008842AE"/>
    <w:rsid w:val="00890C54"/>
    <w:rsid w:val="00896F78"/>
    <w:rsid w:val="008970BE"/>
    <w:rsid w:val="008A0366"/>
    <w:rsid w:val="008A1D16"/>
    <w:rsid w:val="008A2715"/>
    <w:rsid w:val="008A285B"/>
    <w:rsid w:val="008A49D6"/>
    <w:rsid w:val="008A60D0"/>
    <w:rsid w:val="008B66E3"/>
    <w:rsid w:val="008B67B7"/>
    <w:rsid w:val="008C043D"/>
    <w:rsid w:val="008C2964"/>
    <w:rsid w:val="008E207E"/>
    <w:rsid w:val="008E35EC"/>
    <w:rsid w:val="009010C9"/>
    <w:rsid w:val="0091444F"/>
    <w:rsid w:val="00920FCA"/>
    <w:rsid w:val="009312BE"/>
    <w:rsid w:val="00966104"/>
    <w:rsid w:val="00971BC0"/>
    <w:rsid w:val="00976DF6"/>
    <w:rsid w:val="00987156"/>
    <w:rsid w:val="0099010F"/>
    <w:rsid w:val="00990505"/>
    <w:rsid w:val="009A7BBD"/>
    <w:rsid w:val="009B0AAD"/>
    <w:rsid w:val="009B7794"/>
    <w:rsid w:val="009C0D6D"/>
    <w:rsid w:val="009C12C4"/>
    <w:rsid w:val="009C3028"/>
    <w:rsid w:val="009D0F56"/>
    <w:rsid w:val="009D3160"/>
    <w:rsid w:val="009D4E27"/>
    <w:rsid w:val="009D5ED9"/>
    <w:rsid w:val="009D7BD6"/>
    <w:rsid w:val="009D7EEA"/>
    <w:rsid w:val="009E4677"/>
    <w:rsid w:val="009E4927"/>
    <w:rsid w:val="009F3272"/>
    <w:rsid w:val="009F3701"/>
    <w:rsid w:val="009F4268"/>
    <w:rsid w:val="009F54E8"/>
    <w:rsid w:val="00A0099A"/>
    <w:rsid w:val="00A029A7"/>
    <w:rsid w:val="00A2223D"/>
    <w:rsid w:val="00A266A6"/>
    <w:rsid w:val="00A27340"/>
    <w:rsid w:val="00A324D7"/>
    <w:rsid w:val="00A41020"/>
    <w:rsid w:val="00A42428"/>
    <w:rsid w:val="00A53A10"/>
    <w:rsid w:val="00A57F08"/>
    <w:rsid w:val="00A57F3C"/>
    <w:rsid w:val="00A6536A"/>
    <w:rsid w:val="00A71CB1"/>
    <w:rsid w:val="00A72888"/>
    <w:rsid w:val="00A80622"/>
    <w:rsid w:val="00A83A8D"/>
    <w:rsid w:val="00A84D2C"/>
    <w:rsid w:val="00A866FC"/>
    <w:rsid w:val="00A907FC"/>
    <w:rsid w:val="00A96313"/>
    <w:rsid w:val="00A965C1"/>
    <w:rsid w:val="00A977BE"/>
    <w:rsid w:val="00AA11C3"/>
    <w:rsid w:val="00AA6A36"/>
    <w:rsid w:val="00AA7370"/>
    <w:rsid w:val="00AB5EBD"/>
    <w:rsid w:val="00AC37B5"/>
    <w:rsid w:val="00AC5943"/>
    <w:rsid w:val="00AC79D0"/>
    <w:rsid w:val="00AD1A71"/>
    <w:rsid w:val="00AD7533"/>
    <w:rsid w:val="00AE4539"/>
    <w:rsid w:val="00AE535C"/>
    <w:rsid w:val="00AE5ACE"/>
    <w:rsid w:val="00AF1C67"/>
    <w:rsid w:val="00AF1EE4"/>
    <w:rsid w:val="00AF707C"/>
    <w:rsid w:val="00B002EF"/>
    <w:rsid w:val="00B02F61"/>
    <w:rsid w:val="00B0622A"/>
    <w:rsid w:val="00B13894"/>
    <w:rsid w:val="00B25CA4"/>
    <w:rsid w:val="00B321C1"/>
    <w:rsid w:val="00B41917"/>
    <w:rsid w:val="00B41E11"/>
    <w:rsid w:val="00B50528"/>
    <w:rsid w:val="00B505E1"/>
    <w:rsid w:val="00B5411B"/>
    <w:rsid w:val="00B56786"/>
    <w:rsid w:val="00B56E25"/>
    <w:rsid w:val="00B57EEE"/>
    <w:rsid w:val="00B602E0"/>
    <w:rsid w:val="00B63E30"/>
    <w:rsid w:val="00B64BD9"/>
    <w:rsid w:val="00B70319"/>
    <w:rsid w:val="00B75DCE"/>
    <w:rsid w:val="00B76A77"/>
    <w:rsid w:val="00B90BC9"/>
    <w:rsid w:val="00B92949"/>
    <w:rsid w:val="00B92D19"/>
    <w:rsid w:val="00B93297"/>
    <w:rsid w:val="00BA0302"/>
    <w:rsid w:val="00BA0458"/>
    <w:rsid w:val="00BA4027"/>
    <w:rsid w:val="00BA5FCF"/>
    <w:rsid w:val="00BB2043"/>
    <w:rsid w:val="00BB5737"/>
    <w:rsid w:val="00BC1012"/>
    <w:rsid w:val="00BC798F"/>
    <w:rsid w:val="00BD31DA"/>
    <w:rsid w:val="00BE069C"/>
    <w:rsid w:val="00BE18D8"/>
    <w:rsid w:val="00BE236F"/>
    <w:rsid w:val="00BF6C64"/>
    <w:rsid w:val="00BF70EA"/>
    <w:rsid w:val="00C05CD7"/>
    <w:rsid w:val="00C075CF"/>
    <w:rsid w:val="00C12CE9"/>
    <w:rsid w:val="00C12FF1"/>
    <w:rsid w:val="00C15D57"/>
    <w:rsid w:val="00C25B7B"/>
    <w:rsid w:val="00C25F6B"/>
    <w:rsid w:val="00C26465"/>
    <w:rsid w:val="00C30C16"/>
    <w:rsid w:val="00C6135C"/>
    <w:rsid w:val="00C63EFF"/>
    <w:rsid w:val="00C63F70"/>
    <w:rsid w:val="00C7047C"/>
    <w:rsid w:val="00C73EEA"/>
    <w:rsid w:val="00C754CC"/>
    <w:rsid w:val="00C8218C"/>
    <w:rsid w:val="00C85B53"/>
    <w:rsid w:val="00C85DEC"/>
    <w:rsid w:val="00C85EB1"/>
    <w:rsid w:val="00C92BA9"/>
    <w:rsid w:val="00C9589A"/>
    <w:rsid w:val="00C9709E"/>
    <w:rsid w:val="00C977A2"/>
    <w:rsid w:val="00CA7B0C"/>
    <w:rsid w:val="00CE131B"/>
    <w:rsid w:val="00CE7702"/>
    <w:rsid w:val="00D03ED8"/>
    <w:rsid w:val="00D075DB"/>
    <w:rsid w:val="00D110DC"/>
    <w:rsid w:val="00D200BE"/>
    <w:rsid w:val="00D26A35"/>
    <w:rsid w:val="00D42035"/>
    <w:rsid w:val="00D44C64"/>
    <w:rsid w:val="00D459C1"/>
    <w:rsid w:val="00D45A1B"/>
    <w:rsid w:val="00D5000B"/>
    <w:rsid w:val="00D51D1B"/>
    <w:rsid w:val="00D61108"/>
    <w:rsid w:val="00D6532E"/>
    <w:rsid w:val="00D8250A"/>
    <w:rsid w:val="00D86757"/>
    <w:rsid w:val="00D917D9"/>
    <w:rsid w:val="00D92987"/>
    <w:rsid w:val="00D940A6"/>
    <w:rsid w:val="00D9492D"/>
    <w:rsid w:val="00D971F0"/>
    <w:rsid w:val="00D97C73"/>
    <w:rsid w:val="00DA3235"/>
    <w:rsid w:val="00DB0130"/>
    <w:rsid w:val="00DB5E6E"/>
    <w:rsid w:val="00DB7CE3"/>
    <w:rsid w:val="00DE4B0E"/>
    <w:rsid w:val="00DE4B2A"/>
    <w:rsid w:val="00DE5996"/>
    <w:rsid w:val="00DE5B98"/>
    <w:rsid w:val="00DF0A6B"/>
    <w:rsid w:val="00DF0FB7"/>
    <w:rsid w:val="00DF5F10"/>
    <w:rsid w:val="00E06A5C"/>
    <w:rsid w:val="00E07492"/>
    <w:rsid w:val="00E1102A"/>
    <w:rsid w:val="00E117D2"/>
    <w:rsid w:val="00E12333"/>
    <w:rsid w:val="00E240FB"/>
    <w:rsid w:val="00E2521E"/>
    <w:rsid w:val="00E30D55"/>
    <w:rsid w:val="00E4405A"/>
    <w:rsid w:val="00E45E23"/>
    <w:rsid w:val="00E55CEE"/>
    <w:rsid w:val="00E64B71"/>
    <w:rsid w:val="00E84E3F"/>
    <w:rsid w:val="00E9154E"/>
    <w:rsid w:val="00E91EAE"/>
    <w:rsid w:val="00E9381C"/>
    <w:rsid w:val="00EA09A4"/>
    <w:rsid w:val="00EA280C"/>
    <w:rsid w:val="00EB15DA"/>
    <w:rsid w:val="00EB3264"/>
    <w:rsid w:val="00EC0036"/>
    <w:rsid w:val="00EC253B"/>
    <w:rsid w:val="00ED11B9"/>
    <w:rsid w:val="00ED1B73"/>
    <w:rsid w:val="00ED2178"/>
    <w:rsid w:val="00ED529A"/>
    <w:rsid w:val="00ED5D4E"/>
    <w:rsid w:val="00EE0E36"/>
    <w:rsid w:val="00EE25E4"/>
    <w:rsid w:val="00EE36D2"/>
    <w:rsid w:val="00EF3BF0"/>
    <w:rsid w:val="00EF64AF"/>
    <w:rsid w:val="00F035FA"/>
    <w:rsid w:val="00F04E57"/>
    <w:rsid w:val="00F05E68"/>
    <w:rsid w:val="00F07884"/>
    <w:rsid w:val="00F20EBE"/>
    <w:rsid w:val="00F21D29"/>
    <w:rsid w:val="00F23F56"/>
    <w:rsid w:val="00F24491"/>
    <w:rsid w:val="00F244E4"/>
    <w:rsid w:val="00F2593F"/>
    <w:rsid w:val="00F2601E"/>
    <w:rsid w:val="00F27273"/>
    <w:rsid w:val="00F361A2"/>
    <w:rsid w:val="00F50F8B"/>
    <w:rsid w:val="00F55869"/>
    <w:rsid w:val="00F57EC6"/>
    <w:rsid w:val="00F60115"/>
    <w:rsid w:val="00F66108"/>
    <w:rsid w:val="00F661A7"/>
    <w:rsid w:val="00F7151C"/>
    <w:rsid w:val="00F72CCA"/>
    <w:rsid w:val="00F800E8"/>
    <w:rsid w:val="00F82527"/>
    <w:rsid w:val="00F85F93"/>
    <w:rsid w:val="00F93ADD"/>
    <w:rsid w:val="00F93CC1"/>
    <w:rsid w:val="00FA5E49"/>
    <w:rsid w:val="00FB2B53"/>
    <w:rsid w:val="00FB58D7"/>
    <w:rsid w:val="00FC17E8"/>
    <w:rsid w:val="00FC5F88"/>
    <w:rsid w:val="00FC62D5"/>
    <w:rsid w:val="00FE1A9F"/>
    <w:rsid w:val="00FE57E2"/>
    <w:rsid w:val="00FF6D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C08"/>
    <w:pPr>
      <w:jc w:val="both"/>
    </w:pPr>
    <w:rPr>
      <w:rFonts w:ascii="Arial" w:hAnsi="Arial"/>
      <w:sz w:val="24"/>
      <w:lang w:eastAsia="en-US"/>
    </w:rPr>
  </w:style>
  <w:style w:type="paragraph" w:styleId="Heading1">
    <w:name w:val="heading 1"/>
    <w:basedOn w:val="Normal"/>
    <w:next w:val="Normal"/>
    <w:qFormat/>
    <w:pPr>
      <w:keepNext/>
      <w:ind w:left="720" w:hanging="720"/>
      <w:outlineLvl w:val="0"/>
    </w:pPr>
    <w:rPr>
      <w:u w:val="single"/>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9D5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70C8F"/>
    <w:rPr>
      <w:rFonts w:ascii="Tahoma" w:hAnsi="Tahoma" w:cs="Tahoma"/>
      <w:sz w:val="16"/>
      <w:szCs w:val="16"/>
    </w:rPr>
  </w:style>
  <w:style w:type="paragraph" w:styleId="FootnoteText">
    <w:name w:val="footnote text"/>
    <w:basedOn w:val="Normal"/>
    <w:semiHidden/>
    <w:rsid w:val="00447A80"/>
    <w:rPr>
      <w:sz w:val="20"/>
    </w:rPr>
  </w:style>
  <w:style w:type="character" w:styleId="FootnoteReference">
    <w:name w:val="footnote reference"/>
    <w:basedOn w:val="DefaultParagraphFont"/>
    <w:semiHidden/>
    <w:rsid w:val="00447A80"/>
    <w:rPr>
      <w:vertAlign w:val="superscript"/>
    </w:rPr>
  </w:style>
  <w:style w:type="character" w:styleId="Hyperlink">
    <w:name w:val="Hyperlink"/>
    <w:basedOn w:val="DefaultParagraphFont"/>
    <w:rsid w:val="00BC1012"/>
    <w:rPr>
      <w:color w:val="0000FF"/>
      <w:u w:val="single"/>
    </w:rPr>
  </w:style>
  <w:style w:type="character" w:styleId="FollowedHyperlink">
    <w:name w:val="FollowedHyperlink"/>
    <w:basedOn w:val="DefaultParagraphFont"/>
    <w:rsid w:val="0082049C"/>
    <w:rPr>
      <w:color w:val="000080"/>
      <w:u w:val="single"/>
    </w:rPr>
  </w:style>
  <w:style w:type="paragraph" w:customStyle="1" w:styleId="Default">
    <w:name w:val="Default"/>
    <w:rsid w:val="0086235D"/>
    <w:pPr>
      <w:autoSpaceDE w:val="0"/>
      <w:autoSpaceDN w:val="0"/>
      <w:adjustRightInd w:val="0"/>
    </w:pPr>
    <w:rPr>
      <w:rFonts w:ascii="Arial" w:hAnsi="Arial" w:cs="Arial"/>
      <w:color w:val="000000"/>
      <w:sz w:val="24"/>
      <w:szCs w:val="24"/>
    </w:rPr>
  </w:style>
  <w:style w:type="paragraph" w:styleId="NormalWeb">
    <w:name w:val="Normal (Web)"/>
    <w:basedOn w:val="Normal"/>
    <w:rsid w:val="00976DF6"/>
    <w:pPr>
      <w:spacing w:before="100" w:beforeAutospacing="1" w:after="100" w:afterAutospacing="1"/>
    </w:pPr>
    <w:rPr>
      <w:rFonts w:ascii="Times New Roman" w:hAnsi="Times New Roman"/>
      <w:szCs w:val="24"/>
      <w:lang w:eastAsia="en-GB"/>
    </w:rPr>
  </w:style>
  <w:style w:type="character" w:styleId="CommentReference">
    <w:name w:val="annotation reference"/>
    <w:semiHidden/>
    <w:rsid w:val="00053C08"/>
    <w:rPr>
      <w:sz w:val="16"/>
      <w:szCs w:val="16"/>
    </w:rPr>
  </w:style>
  <w:style w:type="paragraph" w:styleId="CommentText">
    <w:name w:val="annotation text"/>
    <w:basedOn w:val="Normal"/>
    <w:semiHidden/>
    <w:rsid w:val="00053C08"/>
    <w:rPr>
      <w:rFonts w:ascii="Times New Roman" w:hAnsi="Times New Roman"/>
      <w:sz w:val="20"/>
    </w:rPr>
  </w:style>
  <w:style w:type="paragraph" w:styleId="ListParagraph">
    <w:name w:val="List Paragraph"/>
    <w:basedOn w:val="Normal"/>
    <w:qFormat/>
    <w:rsid w:val="00053C08"/>
    <w:pPr>
      <w:ind w:left="720"/>
    </w:pPr>
    <w:rPr>
      <w:rFonts w:ascii="Times New Roman" w:hAnsi="Times New Roman"/>
      <w:szCs w:val="24"/>
    </w:rPr>
  </w:style>
  <w:style w:type="character" w:styleId="PageNumber">
    <w:name w:val="page number"/>
    <w:basedOn w:val="DefaultParagraphFont"/>
    <w:rsid w:val="000C13DE"/>
  </w:style>
</w:styles>
</file>

<file path=word/webSettings.xml><?xml version="1.0" encoding="utf-8"?>
<w:webSettings xmlns:r="http://schemas.openxmlformats.org/officeDocument/2006/relationships" xmlns:w="http://schemas.openxmlformats.org/wordprocessingml/2006/main">
  <w:divs>
    <w:div w:id="387652175">
      <w:bodyDiv w:val="1"/>
      <w:marLeft w:val="0"/>
      <w:marRight w:val="0"/>
      <w:marTop w:val="0"/>
      <w:marBottom w:val="0"/>
      <w:divBdr>
        <w:top w:val="none" w:sz="0" w:space="0" w:color="auto"/>
        <w:left w:val="none" w:sz="0" w:space="0" w:color="auto"/>
        <w:bottom w:val="none" w:sz="0" w:space="0" w:color="auto"/>
        <w:right w:val="none" w:sz="0" w:space="0" w:color="auto"/>
      </w:divBdr>
      <w:divsChild>
        <w:div w:id="2087993519">
          <w:marLeft w:val="0"/>
          <w:marRight w:val="0"/>
          <w:marTop w:val="0"/>
          <w:marBottom w:val="0"/>
          <w:divBdr>
            <w:top w:val="none" w:sz="0" w:space="0" w:color="auto"/>
            <w:left w:val="none" w:sz="0" w:space="0" w:color="auto"/>
            <w:bottom w:val="none" w:sz="0" w:space="0" w:color="auto"/>
            <w:right w:val="none" w:sz="0" w:space="0" w:color="auto"/>
          </w:divBdr>
          <w:divsChild>
            <w:div w:id="2114855491">
              <w:marLeft w:val="0"/>
              <w:marRight w:val="0"/>
              <w:marTop w:val="0"/>
              <w:marBottom w:val="0"/>
              <w:divBdr>
                <w:top w:val="none" w:sz="0" w:space="0" w:color="auto"/>
                <w:left w:val="none" w:sz="0" w:space="0" w:color="auto"/>
                <w:bottom w:val="none" w:sz="0" w:space="0" w:color="auto"/>
                <w:right w:val="none" w:sz="0" w:space="0" w:color="auto"/>
              </w:divBdr>
              <w:divsChild>
                <w:div w:id="1834565389">
                  <w:marLeft w:val="0"/>
                  <w:marRight w:val="0"/>
                  <w:marTop w:val="0"/>
                  <w:marBottom w:val="0"/>
                  <w:divBdr>
                    <w:top w:val="none" w:sz="0" w:space="0" w:color="auto"/>
                    <w:left w:val="none" w:sz="0" w:space="0" w:color="auto"/>
                    <w:bottom w:val="none" w:sz="0" w:space="0" w:color="auto"/>
                    <w:right w:val="none" w:sz="0" w:space="0" w:color="auto"/>
                  </w:divBdr>
                  <w:divsChild>
                    <w:div w:id="1914386535">
                      <w:marLeft w:val="0"/>
                      <w:marRight w:val="0"/>
                      <w:marTop w:val="0"/>
                      <w:marBottom w:val="0"/>
                      <w:divBdr>
                        <w:top w:val="none" w:sz="0" w:space="0" w:color="auto"/>
                        <w:left w:val="none" w:sz="0" w:space="0" w:color="auto"/>
                        <w:bottom w:val="none" w:sz="0" w:space="0" w:color="auto"/>
                        <w:right w:val="none" w:sz="0" w:space="0" w:color="auto"/>
                      </w:divBdr>
                      <w:divsChild>
                        <w:div w:id="1362517568">
                          <w:marLeft w:val="0"/>
                          <w:marRight w:val="0"/>
                          <w:marTop w:val="0"/>
                          <w:marBottom w:val="0"/>
                          <w:divBdr>
                            <w:top w:val="none" w:sz="0" w:space="0" w:color="auto"/>
                            <w:left w:val="none" w:sz="0" w:space="0" w:color="auto"/>
                            <w:bottom w:val="none" w:sz="0" w:space="0" w:color="auto"/>
                            <w:right w:val="none" w:sz="0" w:space="0" w:color="auto"/>
                          </w:divBdr>
                          <w:divsChild>
                            <w:div w:id="1382174331">
                              <w:marLeft w:val="0"/>
                              <w:marRight w:val="0"/>
                              <w:marTop w:val="0"/>
                              <w:marBottom w:val="0"/>
                              <w:divBdr>
                                <w:top w:val="none" w:sz="0" w:space="0" w:color="auto"/>
                                <w:left w:val="none" w:sz="0" w:space="0" w:color="auto"/>
                                <w:bottom w:val="none" w:sz="0" w:space="0" w:color="auto"/>
                                <w:right w:val="none" w:sz="0" w:space="0" w:color="auto"/>
                              </w:divBdr>
                              <w:divsChild>
                                <w:div w:id="13891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429667">
      <w:bodyDiv w:val="1"/>
      <w:marLeft w:val="0"/>
      <w:marRight w:val="0"/>
      <w:marTop w:val="0"/>
      <w:marBottom w:val="0"/>
      <w:divBdr>
        <w:top w:val="none" w:sz="0" w:space="0" w:color="auto"/>
        <w:left w:val="none" w:sz="0" w:space="0" w:color="auto"/>
        <w:bottom w:val="none" w:sz="0" w:space="0" w:color="auto"/>
        <w:right w:val="none" w:sz="0" w:space="0" w:color="auto"/>
      </w:divBdr>
      <w:divsChild>
        <w:div w:id="1589346098">
          <w:marLeft w:val="0"/>
          <w:marRight w:val="0"/>
          <w:marTop w:val="0"/>
          <w:marBottom w:val="0"/>
          <w:divBdr>
            <w:top w:val="none" w:sz="0" w:space="0" w:color="auto"/>
            <w:left w:val="none" w:sz="0" w:space="0" w:color="auto"/>
            <w:bottom w:val="none" w:sz="0" w:space="0" w:color="auto"/>
            <w:right w:val="none" w:sz="0" w:space="0" w:color="auto"/>
          </w:divBdr>
          <w:divsChild>
            <w:div w:id="1709990674">
              <w:marLeft w:val="0"/>
              <w:marRight w:val="0"/>
              <w:marTop w:val="0"/>
              <w:marBottom w:val="0"/>
              <w:divBdr>
                <w:top w:val="none" w:sz="0" w:space="0" w:color="auto"/>
                <w:left w:val="none" w:sz="0" w:space="0" w:color="auto"/>
                <w:bottom w:val="none" w:sz="0" w:space="0" w:color="auto"/>
                <w:right w:val="none" w:sz="0" w:space="0" w:color="auto"/>
              </w:divBdr>
              <w:divsChild>
                <w:div w:id="1318798814">
                  <w:marLeft w:val="0"/>
                  <w:marRight w:val="0"/>
                  <w:marTop w:val="0"/>
                  <w:marBottom w:val="0"/>
                  <w:divBdr>
                    <w:top w:val="none" w:sz="0" w:space="0" w:color="auto"/>
                    <w:left w:val="none" w:sz="0" w:space="0" w:color="auto"/>
                    <w:bottom w:val="none" w:sz="0" w:space="0" w:color="auto"/>
                    <w:right w:val="none" w:sz="0" w:space="0" w:color="auto"/>
                  </w:divBdr>
                  <w:divsChild>
                    <w:div w:id="9696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169582">
      <w:bodyDiv w:val="1"/>
      <w:marLeft w:val="0"/>
      <w:marRight w:val="0"/>
      <w:marTop w:val="0"/>
      <w:marBottom w:val="0"/>
      <w:divBdr>
        <w:top w:val="none" w:sz="0" w:space="0" w:color="auto"/>
        <w:left w:val="none" w:sz="0" w:space="0" w:color="auto"/>
        <w:bottom w:val="none" w:sz="0" w:space="0" w:color="auto"/>
        <w:right w:val="none" w:sz="0" w:space="0" w:color="auto"/>
      </w:divBdr>
    </w:div>
    <w:div w:id="212442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PART 1</vt:lpstr>
    </vt:vector>
  </TitlesOfParts>
  <Company>city of salford</Company>
  <LinksUpToDate>false</LinksUpToDate>
  <CharactersWithSpaces>12085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Pat Taylor</dc:creator>
  <cp:lastModifiedBy>csecvjoseph</cp:lastModifiedBy>
  <cp:revision>2</cp:revision>
  <cp:lastPrinted>2012-07-10T17:16:00Z</cp:lastPrinted>
  <dcterms:created xsi:type="dcterms:W3CDTF">2012-07-10T17:16:00Z</dcterms:created>
  <dcterms:modified xsi:type="dcterms:W3CDTF">2012-07-10T17:16:00Z</dcterms:modified>
</cp:coreProperties>
</file>