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0"/>
        <w:gridCol w:w="1890"/>
      </w:tblGrid>
      <w:tr w:rsidR="000D17E5" w:rsidTr="000F056A">
        <w:tc>
          <w:tcPr>
            <w:tcW w:w="3870" w:type="dxa"/>
          </w:tcPr>
          <w:p w:rsidR="000D17E5" w:rsidRDefault="000D17E5" w:rsidP="009D5ED9"/>
        </w:tc>
        <w:tc>
          <w:tcPr>
            <w:tcW w:w="1890" w:type="dxa"/>
          </w:tcPr>
          <w:p w:rsidR="000D17E5" w:rsidRDefault="000D17E5" w:rsidP="009D5ED9"/>
          <w:p w:rsidR="000D17E5" w:rsidRDefault="000D17E5" w:rsidP="009D5ED9">
            <w:r>
              <w:t>ITEM NO.</w:t>
            </w:r>
          </w:p>
          <w:p w:rsidR="000D17E5" w:rsidRDefault="000D17E5" w:rsidP="009D5ED9"/>
        </w:tc>
      </w:tr>
    </w:tbl>
    <w:p w:rsidR="000D17E5" w:rsidRDefault="000D17E5" w:rsidP="009D5ED9">
      <w:pPr>
        <w:tabs>
          <w:tab w:val="right" w:leader="underscore" w:pos="9072"/>
        </w:tabs>
      </w:pPr>
    </w:p>
    <w:p w:rsidR="000D17E5" w:rsidRDefault="000D17E5" w:rsidP="00A15D45">
      <w:pPr>
        <w:pBdr>
          <w:bottom w:val="single" w:sz="6" w:space="1" w:color="auto"/>
        </w:pBdr>
        <w:tabs>
          <w:tab w:val="right" w:leader="underscore" w:pos="9072"/>
        </w:tabs>
      </w:pPr>
    </w:p>
    <w:p w:rsidR="000D17E5" w:rsidRPr="007223DA" w:rsidRDefault="000D17E5" w:rsidP="009D5ED9">
      <w:pPr>
        <w:tabs>
          <w:tab w:val="right" w:leader="underscore" w:pos="9072"/>
        </w:tabs>
        <w:jc w:val="center"/>
        <w:rPr>
          <w:sz w:val="20"/>
        </w:rPr>
      </w:pPr>
    </w:p>
    <w:p w:rsidR="000D17E5" w:rsidRDefault="000D17E5" w:rsidP="007223DA">
      <w:pPr>
        <w:tabs>
          <w:tab w:val="right" w:leader="underscore" w:pos="9072"/>
        </w:tabs>
        <w:jc w:val="center"/>
      </w:pPr>
      <w:r>
        <w:t xml:space="preserve">REPORT TO </w:t>
      </w:r>
    </w:p>
    <w:p w:rsidR="000D17E5" w:rsidRDefault="000D17E5" w:rsidP="007223DA">
      <w:pPr>
        <w:tabs>
          <w:tab w:val="right" w:leader="underscore" w:pos="9072"/>
        </w:tabs>
        <w:jc w:val="center"/>
      </w:pPr>
    </w:p>
    <w:p w:rsidR="000D17E5" w:rsidRDefault="000D17E5" w:rsidP="007223DA">
      <w:pPr>
        <w:tabs>
          <w:tab w:val="right" w:leader="underscore" w:pos="9072"/>
        </w:tabs>
        <w:jc w:val="center"/>
      </w:pPr>
      <w:r>
        <w:t>Lead Member Environment</w:t>
      </w:r>
    </w:p>
    <w:p w:rsidR="000D17E5" w:rsidRDefault="000D17E5" w:rsidP="007223DA">
      <w:pPr>
        <w:tabs>
          <w:tab w:val="right" w:leader="underscore" w:pos="9072"/>
        </w:tabs>
        <w:jc w:val="center"/>
      </w:pPr>
    </w:p>
    <w:p w:rsidR="000D17E5" w:rsidRDefault="000D17E5" w:rsidP="007223DA">
      <w:pPr>
        <w:tabs>
          <w:tab w:val="right" w:leader="underscore" w:pos="9072"/>
        </w:tabs>
        <w:jc w:val="center"/>
      </w:pPr>
      <w:r>
        <w:t>ON 26</w:t>
      </w:r>
      <w:r w:rsidRPr="000E70B1">
        <w:rPr>
          <w:vertAlign w:val="superscript"/>
        </w:rPr>
        <w:t>th</w:t>
      </w:r>
      <w:r>
        <w:t xml:space="preserve"> March 2012</w:t>
      </w:r>
    </w:p>
    <w:p w:rsidR="000D17E5" w:rsidRDefault="000D17E5" w:rsidP="007223DA">
      <w:pPr>
        <w:tabs>
          <w:tab w:val="right" w:leader="underscore" w:pos="9072"/>
        </w:tabs>
        <w:jc w:val="center"/>
        <w:rPr>
          <w:b/>
          <w:bCs/>
        </w:rPr>
      </w:pPr>
    </w:p>
    <w:p w:rsidR="000D17E5" w:rsidRDefault="000D17E5" w:rsidP="00A15D45">
      <w:pPr>
        <w:pBdr>
          <w:bottom w:val="single" w:sz="6" w:space="1" w:color="auto"/>
        </w:pBdr>
        <w:tabs>
          <w:tab w:val="right" w:leader="underscore" w:pos="9072"/>
        </w:tabs>
      </w:pPr>
    </w:p>
    <w:p w:rsidR="000D17E5" w:rsidRDefault="000D17E5" w:rsidP="009D5ED9">
      <w:pPr>
        <w:tabs>
          <w:tab w:val="right" w:leader="underscore" w:pos="9072"/>
        </w:tabs>
      </w:pPr>
    </w:p>
    <w:p w:rsidR="000D17E5" w:rsidRDefault="000D17E5" w:rsidP="007223DA">
      <w:pPr>
        <w:tabs>
          <w:tab w:val="left" w:pos="900"/>
          <w:tab w:val="right" w:leader="underscore" w:pos="9072"/>
        </w:tabs>
      </w:pPr>
      <w:r>
        <w:t>TITLE:</w:t>
      </w:r>
      <w:r>
        <w:tab/>
      </w:r>
    </w:p>
    <w:p w:rsidR="000D17E5" w:rsidRDefault="000D17E5" w:rsidP="007223DA">
      <w:pPr>
        <w:tabs>
          <w:tab w:val="left" w:pos="900"/>
          <w:tab w:val="right" w:leader="underscore" w:pos="9072"/>
        </w:tabs>
      </w:pPr>
    </w:p>
    <w:p w:rsidR="000D17E5" w:rsidRDefault="000D17E5" w:rsidP="007223DA">
      <w:pPr>
        <w:tabs>
          <w:tab w:val="left" w:pos="900"/>
          <w:tab w:val="right" w:leader="underscore" w:pos="9072"/>
        </w:tabs>
        <w:rPr>
          <w:b/>
          <w:bCs/>
        </w:rPr>
      </w:pPr>
      <w:r>
        <w:t>Arboricultural Services contract award 2012 - 2014</w:t>
      </w:r>
    </w:p>
    <w:p w:rsidR="000D17E5" w:rsidRDefault="000D17E5" w:rsidP="005F1F8E">
      <w:pPr>
        <w:tabs>
          <w:tab w:val="left" w:pos="900"/>
          <w:tab w:val="right" w:leader="underscore" w:pos="9072"/>
        </w:tabs>
        <w:rPr>
          <w:b/>
          <w:bCs/>
        </w:rPr>
      </w:pPr>
    </w:p>
    <w:p w:rsidR="000D17E5" w:rsidRDefault="000D17E5" w:rsidP="00A15D45">
      <w:pPr>
        <w:pBdr>
          <w:bottom w:val="single" w:sz="6" w:space="1" w:color="auto"/>
        </w:pBdr>
        <w:tabs>
          <w:tab w:val="right" w:leader="underscore" w:pos="9072"/>
        </w:tabs>
      </w:pPr>
    </w:p>
    <w:p w:rsidR="000D17E5" w:rsidRDefault="000D17E5" w:rsidP="005F1F8E">
      <w:pPr>
        <w:tabs>
          <w:tab w:val="left" w:pos="1080"/>
          <w:tab w:val="left" w:pos="2700"/>
          <w:tab w:val="right" w:leader="underscore" w:pos="9072"/>
        </w:tabs>
      </w:pPr>
    </w:p>
    <w:p w:rsidR="000D17E5" w:rsidRDefault="000D17E5" w:rsidP="005F1F8E">
      <w:pPr>
        <w:tabs>
          <w:tab w:val="left" w:pos="1080"/>
          <w:tab w:val="left" w:pos="2700"/>
          <w:tab w:val="right" w:leader="underscore" w:pos="9072"/>
        </w:tabs>
      </w:pPr>
      <w:r>
        <w:t>RECOMMENDATION:</w:t>
      </w:r>
    </w:p>
    <w:p w:rsidR="000D17E5" w:rsidRDefault="000D17E5" w:rsidP="005F1F8E">
      <w:pPr>
        <w:tabs>
          <w:tab w:val="left" w:pos="1080"/>
          <w:tab w:val="left" w:pos="2700"/>
          <w:tab w:val="right" w:leader="underscore" w:pos="9072"/>
        </w:tabs>
      </w:pPr>
    </w:p>
    <w:p w:rsidR="000D17E5" w:rsidRDefault="000D17E5" w:rsidP="00CE4C54">
      <w:r>
        <w:t>That approval is given for the appointment of Wigan Cultural Leisure Ltd to provide an Arboricultural Service within the boundaries of Salford City Council for the period 1</w:t>
      </w:r>
      <w:r w:rsidRPr="00F94E2D">
        <w:rPr>
          <w:vertAlign w:val="superscript"/>
        </w:rPr>
        <w:t>st</w:t>
      </w:r>
      <w:r>
        <w:t xml:space="preserve"> April 2012 to 31</w:t>
      </w:r>
      <w:r w:rsidRPr="00F94E2D">
        <w:rPr>
          <w:vertAlign w:val="superscript"/>
        </w:rPr>
        <w:t>st</w:t>
      </w:r>
      <w:r>
        <w:t xml:space="preserve"> March 2014.</w:t>
      </w:r>
    </w:p>
    <w:p w:rsidR="000D17E5" w:rsidRDefault="000D17E5" w:rsidP="009D5ED9">
      <w:pPr>
        <w:tabs>
          <w:tab w:val="right" w:leader="underscore" w:pos="9072"/>
        </w:tabs>
      </w:pPr>
    </w:p>
    <w:p w:rsidR="000D17E5" w:rsidRDefault="000D17E5" w:rsidP="00CE4C54">
      <w:r>
        <w:rPr>
          <w:rFonts w:cs="Arial"/>
          <w:szCs w:val="22"/>
        </w:rPr>
        <w:t>A</w:t>
      </w:r>
      <w:r w:rsidRPr="00084DAB">
        <w:rPr>
          <w:rFonts w:cs="Arial"/>
          <w:szCs w:val="22"/>
        </w:rPr>
        <w:t xml:space="preserve">uthorise the </w:t>
      </w:r>
      <w:r>
        <w:rPr>
          <w:rFonts w:cs="Arial"/>
          <w:szCs w:val="22"/>
        </w:rPr>
        <w:t>Legal Team</w:t>
      </w:r>
      <w:r w:rsidRPr="00084DAB">
        <w:rPr>
          <w:rFonts w:cs="Arial"/>
          <w:szCs w:val="22"/>
        </w:rPr>
        <w:t xml:space="preserve"> to prepare </w:t>
      </w:r>
      <w:r>
        <w:rPr>
          <w:rFonts w:cs="Arial"/>
          <w:szCs w:val="22"/>
        </w:rPr>
        <w:t xml:space="preserve">the </w:t>
      </w:r>
      <w:r w:rsidRPr="00084DAB">
        <w:rPr>
          <w:rFonts w:cs="Arial"/>
          <w:szCs w:val="22"/>
        </w:rPr>
        <w:t>contract award documents as soon as possible</w:t>
      </w:r>
    </w:p>
    <w:p w:rsidR="000D17E5" w:rsidRDefault="000D17E5" w:rsidP="00A15D45">
      <w:pPr>
        <w:pBdr>
          <w:bottom w:val="single" w:sz="6" w:space="1" w:color="auto"/>
        </w:pBdr>
        <w:tabs>
          <w:tab w:val="right" w:leader="underscore" w:pos="9072"/>
        </w:tabs>
        <w:rPr>
          <w:b/>
          <w:bCs/>
        </w:rPr>
      </w:pPr>
    </w:p>
    <w:p w:rsidR="000D17E5" w:rsidRPr="005E0920" w:rsidRDefault="000D17E5" w:rsidP="00A15D45">
      <w:pPr>
        <w:pBdr>
          <w:bottom w:val="single" w:sz="6" w:space="1" w:color="auto"/>
        </w:pBdr>
        <w:tabs>
          <w:tab w:val="right" w:leader="underscore" w:pos="9072"/>
        </w:tabs>
        <w:rPr>
          <w:b/>
          <w:bCs/>
        </w:rPr>
      </w:pPr>
    </w:p>
    <w:p w:rsidR="000D17E5" w:rsidRPr="006E6E2F" w:rsidRDefault="000D17E5" w:rsidP="009D5ED9">
      <w:pPr>
        <w:tabs>
          <w:tab w:val="right" w:leader="underscore" w:pos="9072"/>
        </w:tabs>
        <w:rPr>
          <w:sz w:val="20"/>
        </w:rPr>
      </w:pPr>
    </w:p>
    <w:p w:rsidR="000D17E5" w:rsidRDefault="000D17E5" w:rsidP="005F1F8E">
      <w:pPr>
        <w:tabs>
          <w:tab w:val="left" w:pos="3060"/>
          <w:tab w:val="right" w:leader="underscore" w:pos="9072"/>
        </w:tabs>
        <w:rPr>
          <w:sz w:val="20"/>
        </w:rPr>
      </w:pPr>
      <w:r w:rsidRPr="006E6E2F">
        <w:rPr>
          <w:sz w:val="20"/>
        </w:rPr>
        <w:t>EXECUTIVE SUMMARY:</w:t>
      </w:r>
    </w:p>
    <w:p w:rsidR="000D17E5" w:rsidRPr="00734E0F" w:rsidRDefault="000D17E5" w:rsidP="00734E0F">
      <w:pPr>
        <w:tabs>
          <w:tab w:val="left" w:pos="3060"/>
          <w:tab w:val="right" w:leader="underscore" w:pos="9072"/>
        </w:tabs>
        <w:jc w:val="both"/>
        <w:rPr>
          <w:szCs w:val="24"/>
        </w:rPr>
      </w:pPr>
    </w:p>
    <w:p w:rsidR="000D17E5" w:rsidRDefault="000D17E5" w:rsidP="00143DC6">
      <w:r>
        <w:t>An Arboricultural Service contract has been in place since August 2004, with the existing contract being entered into in September 2006 and scheduled to expire on the 31</w:t>
      </w:r>
      <w:r w:rsidRPr="00B0488A">
        <w:rPr>
          <w:vertAlign w:val="superscript"/>
        </w:rPr>
        <w:t>st</w:t>
      </w:r>
      <w:r>
        <w:t xml:space="preserve"> March 2012. </w:t>
      </w:r>
    </w:p>
    <w:p w:rsidR="000D17E5" w:rsidRDefault="000D17E5" w:rsidP="00143DC6"/>
    <w:p w:rsidR="000D17E5" w:rsidRDefault="000D17E5" w:rsidP="00143DC6">
      <w:r>
        <w:t xml:space="preserve">The contract relates to the provision of tree works within the City. </w:t>
      </w:r>
    </w:p>
    <w:p w:rsidR="000D17E5" w:rsidRDefault="000D17E5" w:rsidP="00143DC6"/>
    <w:p w:rsidR="000D17E5" w:rsidRDefault="000D17E5" w:rsidP="00143DC6">
      <w:r>
        <w:t>In accordance with the cabinet decision in August 2011, and</w:t>
      </w:r>
      <w:r w:rsidRPr="00F231F7">
        <w:t xml:space="preserve"> </w:t>
      </w:r>
      <w:r>
        <w:t xml:space="preserve">in order </w:t>
      </w:r>
      <w:r w:rsidRPr="00F231F7">
        <w:t xml:space="preserve">to comply with the </w:t>
      </w:r>
      <w:r>
        <w:t xml:space="preserve">EU regulations and Salford Constitutional rules, it was agreed that the contract be re – tendered. </w:t>
      </w:r>
    </w:p>
    <w:p w:rsidR="000D17E5" w:rsidRDefault="000D17E5" w:rsidP="00143DC6"/>
    <w:p w:rsidR="000D17E5" w:rsidRPr="00143DC6" w:rsidRDefault="000D17E5" w:rsidP="00143DC6">
      <w:r>
        <w:t xml:space="preserve">This report provides the detail of the tendering process and recommends the appointment of a provider. </w:t>
      </w:r>
    </w:p>
    <w:p w:rsidR="000D17E5" w:rsidRPr="006E6E2F" w:rsidRDefault="000D17E5" w:rsidP="00734E0F">
      <w:pPr>
        <w:tabs>
          <w:tab w:val="left" w:pos="3060"/>
          <w:tab w:val="right" w:leader="underscore" w:pos="9072"/>
        </w:tabs>
        <w:rPr>
          <w:sz w:val="20"/>
        </w:rPr>
      </w:pPr>
    </w:p>
    <w:p w:rsidR="000D17E5" w:rsidRPr="006E6E2F" w:rsidRDefault="000D17E5" w:rsidP="009D5ED9">
      <w:pPr>
        <w:tabs>
          <w:tab w:val="right" w:leader="underscore" w:pos="9072"/>
        </w:tabs>
        <w:rPr>
          <w:sz w:val="20"/>
        </w:rPr>
      </w:pPr>
    </w:p>
    <w:p w:rsidR="000D17E5" w:rsidRDefault="000D17E5" w:rsidP="00734E0F">
      <w:pPr>
        <w:tabs>
          <w:tab w:val="left" w:pos="3690"/>
          <w:tab w:val="right" w:leader="underscore" w:pos="9072"/>
        </w:tabs>
        <w:rPr>
          <w:sz w:val="20"/>
        </w:rPr>
      </w:pPr>
      <w:r w:rsidRPr="006E6E2F">
        <w:rPr>
          <w:sz w:val="20"/>
        </w:rPr>
        <w:t>BACKGROUND DOCUMENTS:</w:t>
      </w:r>
    </w:p>
    <w:p w:rsidR="000D17E5" w:rsidRPr="006E6E2F" w:rsidRDefault="000D17E5" w:rsidP="00734E0F">
      <w:pPr>
        <w:tabs>
          <w:tab w:val="left" w:pos="3690"/>
          <w:tab w:val="right" w:leader="underscore" w:pos="9072"/>
        </w:tabs>
        <w:rPr>
          <w:b/>
          <w:bCs/>
          <w:sz w:val="20"/>
        </w:rPr>
      </w:pPr>
      <w:r w:rsidRPr="006E6E2F">
        <w:rPr>
          <w:sz w:val="20"/>
        </w:rPr>
        <w:tab/>
      </w:r>
    </w:p>
    <w:p w:rsidR="000D17E5" w:rsidRDefault="000D17E5" w:rsidP="00CE4C54">
      <w:r>
        <w:t>OJEU Advertisement</w:t>
      </w:r>
    </w:p>
    <w:p w:rsidR="000D17E5" w:rsidRDefault="000D17E5" w:rsidP="00CE4C54">
      <w:r>
        <w:t>The Chest advertisement</w:t>
      </w:r>
    </w:p>
    <w:p w:rsidR="000D17E5" w:rsidRPr="005C2D08" w:rsidRDefault="000D17E5" w:rsidP="00CE4C54">
      <w:r w:rsidRPr="005C2D08">
        <w:t>Tender receipt schedule</w:t>
      </w:r>
    </w:p>
    <w:p w:rsidR="000D17E5" w:rsidRDefault="000D17E5" w:rsidP="00CE4C54">
      <w:r>
        <w:t>Tender evaluation matrix. (These documents contain commercially sensitive information and are not for public scrutiny)</w:t>
      </w:r>
    </w:p>
    <w:p w:rsidR="000D17E5" w:rsidRPr="00B4166B" w:rsidRDefault="000D17E5" w:rsidP="00CE4C54">
      <w:r w:rsidRPr="00B4166B">
        <w:t>Experian Check</w:t>
      </w:r>
    </w:p>
    <w:p w:rsidR="000D17E5" w:rsidRPr="006E6E2F" w:rsidRDefault="000D17E5" w:rsidP="00695042">
      <w:pPr>
        <w:tabs>
          <w:tab w:val="left" w:pos="4320"/>
          <w:tab w:val="right" w:leader="underscore" w:pos="9072"/>
        </w:tabs>
        <w:rPr>
          <w:sz w:val="20"/>
        </w:rPr>
      </w:pPr>
    </w:p>
    <w:p w:rsidR="000D17E5" w:rsidRPr="006E6E2F" w:rsidRDefault="000D17E5" w:rsidP="00A15D45">
      <w:pPr>
        <w:pBdr>
          <w:bottom w:val="single" w:sz="6" w:space="1" w:color="auto"/>
        </w:pBdr>
        <w:tabs>
          <w:tab w:val="right" w:leader="underscore" w:pos="9072"/>
        </w:tabs>
        <w:rPr>
          <w:sz w:val="20"/>
        </w:rPr>
      </w:pPr>
    </w:p>
    <w:p w:rsidR="000D17E5" w:rsidRPr="006E6E2F" w:rsidRDefault="000D17E5" w:rsidP="009D5ED9">
      <w:pPr>
        <w:tabs>
          <w:tab w:val="right" w:leader="underscore" w:pos="9072"/>
        </w:tabs>
        <w:rPr>
          <w:sz w:val="20"/>
        </w:rPr>
      </w:pPr>
    </w:p>
    <w:p w:rsidR="000D17E5" w:rsidRPr="006E6E2F" w:rsidRDefault="000D17E5" w:rsidP="004C0654">
      <w:pPr>
        <w:tabs>
          <w:tab w:val="left" w:pos="2250"/>
          <w:tab w:val="right" w:leader="underscore" w:pos="9072"/>
        </w:tabs>
        <w:rPr>
          <w:color w:val="FF0000"/>
          <w:sz w:val="20"/>
        </w:rPr>
      </w:pPr>
      <w:r w:rsidRPr="006E6E2F">
        <w:rPr>
          <w:sz w:val="20"/>
        </w:rPr>
        <w:t>KEY DECISION:</w:t>
      </w:r>
      <w:r w:rsidRPr="006E6E2F">
        <w:rPr>
          <w:sz w:val="20"/>
        </w:rPr>
        <w:tab/>
      </w:r>
      <w:r w:rsidRPr="006E6E2F">
        <w:rPr>
          <w:b/>
          <w:bCs/>
          <w:sz w:val="20"/>
        </w:rPr>
        <w:t xml:space="preserve">YES </w:t>
      </w:r>
    </w:p>
    <w:p w:rsidR="000D17E5" w:rsidRPr="006E6E2F" w:rsidRDefault="000D17E5" w:rsidP="00A15D45">
      <w:pPr>
        <w:pBdr>
          <w:bottom w:val="single" w:sz="6" w:space="1" w:color="auto"/>
        </w:pBdr>
        <w:tabs>
          <w:tab w:val="right" w:leader="underscore" w:pos="9072"/>
        </w:tabs>
        <w:rPr>
          <w:sz w:val="20"/>
        </w:rPr>
      </w:pPr>
    </w:p>
    <w:p w:rsidR="000D17E5" w:rsidRPr="006E6E2F" w:rsidRDefault="000D17E5" w:rsidP="00695042">
      <w:pPr>
        <w:tabs>
          <w:tab w:val="left" w:pos="1440"/>
          <w:tab w:val="right" w:leader="underscore" w:pos="9072"/>
        </w:tabs>
        <w:rPr>
          <w:sz w:val="20"/>
        </w:rPr>
      </w:pPr>
    </w:p>
    <w:p w:rsidR="000D17E5" w:rsidRPr="00F94E2D" w:rsidRDefault="000D17E5" w:rsidP="00695042">
      <w:pPr>
        <w:tabs>
          <w:tab w:val="left" w:pos="1440"/>
          <w:tab w:val="right" w:leader="underscore" w:pos="9072"/>
        </w:tabs>
        <w:rPr>
          <w:b/>
          <w:sz w:val="20"/>
        </w:rPr>
      </w:pPr>
      <w:r w:rsidRPr="00F94E2D">
        <w:rPr>
          <w:b/>
          <w:sz w:val="20"/>
        </w:rPr>
        <w:t>DETAILS:</w:t>
      </w:r>
    </w:p>
    <w:p w:rsidR="000D17E5" w:rsidRDefault="000D17E5" w:rsidP="00695042">
      <w:pPr>
        <w:tabs>
          <w:tab w:val="left" w:pos="1440"/>
          <w:tab w:val="right" w:leader="underscore" w:pos="9072"/>
        </w:tabs>
        <w:rPr>
          <w:sz w:val="20"/>
        </w:rPr>
      </w:pPr>
    </w:p>
    <w:p w:rsidR="000D17E5" w:rsidRDefault="000D17E5" w:rsidP="00543376">
      <w:r>
        <w:t>An Arboricultural Service contract has been in place since August 2004, with the existing contract being entered into in September 2006 and scheduled to expire on the 31</w:t>
      </w:r>
      <w:r w:rsidRPr="00B0488A">
        <w:rPr>
          <w:vertAlign w:val="superscript"/>
        </w:rPr>
        <w:t>st</w:t>
      </w:r>
      <w:r>
        <w:t xml:space="preserve"> March 2012. </w:t>
      </w:r>
    </w:p>
    <w:p w:rsidR="000D17E5" w:rsidRDefault="000D17E5" w:rsidP="00543376"/>
    <w:p w:rsidR="000D17E5" w:rsidRDefault="000D17E5" w:rsidP="00543376">
      <w:r>
        <w:t xml:space="preserve">The contract relates to the provision of tree works within the City. </w:t>
      </w:r>
    </w:p>
    <w:p w:rsidR="000D17E5" w:rsidRDefault="000D17E5" w:rsidP="009779CD"/>
    <w:p w:rsidR="000D17E5" w:rsidRDefault="000D17E5" w:rsidP="009779CD">
      <w:r>
        <w:t>The process in retendering this service resulted in a Restricted Procedure advertisement being placed in the OJEU and the Chest  (the northwest’s procurement portal) on 22</w:t>
      </w:r>
      <w:r w:rsidRPr="00277720">
        <w:rPr>
          <w:vertAlign w:val="superscript"/>
        </w:rPr>
        <w:t>nd</w:t>
      </w:r>
      <w:r>
        <w:t xml:space="preserve"> September 2011.  There </w:t>
      </w:r>
      <w:r w:rsidRPr="00F82177">
        <w:t xml:space="preserve">were </w:t>
      </w:r>
      <w:r>
        <w:t>20 expressions of interest completing a pre qualification questionnaire with a closing date of 24</w:t>
      </w:r>
      <w:r w:rsidRPr="00277720">
        <w:rPr>
          <w:vertAlign w:val="superscript"/>
        </w:rPr>
        <w:t>th</w:t>
      </w:r>
      <w:r>
        <w:t xml:space="preserve"> October 2011.</w:t>
      </w:r>
    </w:p>
    <w:p w:rsidR="000D17E5" w:rsidRDefault="000D17E5" w:rsidP="009779CD"/>
    <w:p w:rsidR="000D17E5" w:rsidRDefault="000D17E5" w:rsidP="009779CD">
      <w:pPr>
        <w:rPr>
          <w:rFonts w:cs="Arial"/>
        </w:rPr>
      </w:pPr>
      <w:r>
        <w:t xml:space="preserve">It was identified within the questionnaire that the top five highest scoring submissions would be invited to Tender, however this represented seven companies being invited to tender due to companies obtaining the same score. The tender documentation included a detailed service specification, contract specific questionnaire and a pricing schedule.  </w:t>
      </w:r>
    </w:p>
    <w:p w:rsidR="000D17E5" w:rsidRDefault="000D17E5" w:rsidP="009779CD">
      <w:pPr>
        <w:jc w:val="both"/>
      </w:pPr>
    </w:p>
    <w:p w:rsidR="000D17E5" w:rsidRDefault="000D17E5" w:rsidP="009779CD">
      <w:pPr>
        <w:jc w:val="both"/>
      </w:pPr>
      <w:r>
        <w:t>Following the invitation to tender, four tenders were received by the closing date of Wednesday 11</w:t>
      </w:r>
      <w:r w:rsidRPr="00262661">
        <w:rPr>
          <w:vertAlign w:val="superscript"/>
        </w:rPr>
        <w:t>th</w:t>
      </w:r>
      <w:r>
        <w:t xml:space="preserve"> January 2012.  </w:t>
      </w:r>
    </w:p>
    <w:p w:rsidR="000D17E5" w:rsidRDefault="000D17E5" w:rsidP="009779CD">
      <w:pPr>
        <w:jc w:val="both"/>
      </w:pPr>
    </w:p>
    <w:p w:rsidR="000D17E5" w:rsidRPr="00F82177" w:rsidRDefault="000D17E5" w:rsidP="009779CD">
      <w:pPr>
        <w:jc w:val="both"/>
      </w:pPr>
      <w:r>
        <w:t>Evaluation of the pre qualification questionnaires and the tender submissions were undertaken by a panel, consisting of 3 officers representing the Arboricultural team, the Environment &amp; Community Safety Directorate commissioning team and an officer from corporate procurement team.</w:t>
      </w:r>
    </w:p>
    <w:p w:rsidR="000D17E5" w:rsidRDefault="000D17E5" w:rsidP="009779CD">
      <w:pPr>
        <w:jc w:val="both"/>
      </w:pPr>
    </w:p>
    <w:p w:rsidR="000D17E5" w:rsidRDefault="000D17E5" w:rsidP="009779CD">
      <w:pPr>
        <w:jc w:val="both"/>
      </w:pPr>
      <w:r>
        <w:t>The contract award criteria were based on 40% quality which covered contract specific questions and 60% on price. Following evaluation of the tenders three companies were invited to provide a presentation and undertake an interview which was held on Monday 13</w:t>
      </w:r>
      <w:r w:rsidRPr="007C3835">
        <w:rPr>
          <w:vertAlign w:val="superscript"/>
        </w:rPr>
        <w:t>th</w:t>
      </w:r>
      <w:r>
        <w:t xml:space="preserve"> February 2012.</w:t>
      </w:r>
    </w:p>
    <w:p w:rsidR="000D17E5" w:rsidRDefault="000D17E5" w:rsidP="009779CD">
      <w:pPr>
        <w:jc w:val="both"/>
      </w:pPr>
    </w:p>
    <w:p w:rsidR="000D17E5" w:rsidRDefault="000D17E5" w:rsidP="009779CD">
      <w:pPr>
        <w:jc w:val="both"/>
      </w:pPr>
      <w:r>
        <w:t xml:space="preserve">The pricing element was evaluated on the six most common activities undertaken over a twelve month period.  This represented 60% of the overall work; in monetary terms equating to £180,000 of the total £300,000.  The current prices, based on the six most common activities were compared against the tender submissions, which identified a saving of £10,800 against the £180,000 which in turn identified a 6% reduction in the overall cost.  </w:t>
      </w:r>
    </w:p>
    <w:p w:rsidR="000D17E5" w:rsidRDefault="000D17E5" w:rsidP="009779CD">
      <w:pPr>
        <w:jc w:val="both"/>
      </w:pPr>
    </w:p>
    <w:p w:rsidR="000D17E5" w:rsidRDefault="000D17E5" w:rsidP="009779CD">
      <w:pPr>
        <w:jc w:val="both"/>
      </w:pPr>
      <w:r>
        <w:t>In relation to the annual saving it is proposed this is used to supplement the existing works, therefore resulting in more tree works for the same original budget.</w:t>
      </w:r>
    </w:p>
    <w:p w:rsidR="000D17E5" w:rsidRDefault="000D17E5" w:rsidP="009779CD">
      <w:pPr>
        <w:jc w:val="both"/>
      </w:pPr>
    </w:p>
    <w:p w:rsidR="000D17E5" w:rsidRDefault="000D17E5" w:rsidP="009779CD">
      <w:pPr>
        <w:jc w:val="both"/>
      </w:pPr>
      <w:r>
        <w:t>The budget available for this project is £300,000 per annum for a two year period commencing on 1</w:t>
      </w:r>
      <w:r w:rsidRPr="007745C4">
        <w:rPr>
          <w:vertAlign w:val="superscript"/>
        </w:rPr>
        <w:t>st</w:t>
      </w:r>
      <w:r>
        <w:t xml:space="preserve"> April 2012 to 31</w:t>
      </w:r>
      <w:r w:rsidRPr="000C2F18">
        <w:rPr>
          <w:vertAlign w:val="superscript"/>
        </w:rPr>
        <w:t>st</w:t>
      </w:r>
      <w:r>
        <w:t xml:space="preserve"> March 2014 with an option to extend for a further two years.  </w:t>
      </w:r>
    </w:p>
    <w:p w:rsidR="000D17E5" w:rsidRDefault="000D17E5" w:rsidP="009779CD">
      <w:pPr>
        <w:jc w:val="both"/>
      </w:pPr>
    </w:p>
    <w:p w:rsidR="000D17E5" w:rsidRPr="00F82177" w:rsidRDefault="000D17E5" w:rsidP="009779CD">
      <w:pPr>
        <w:jc w:val="both"/>
      </w:pPr>
      <w:r>
        <w:t>Following the evaluation process the tender submitted by Wigan Cultural Leisure Ltd, was deemed to be the most economically advantageous tender.</w:t>
      </w:r>
    </w:p>
    <w:p w:rsidR="000D17E5" w:rsidRPr="006E6E2F" w:rsidRDefault="000D17E5" w:rsidP="00695042">
      <w:pPr>
        <w:tabs>
          <w:tab w:val="left" w:pos="1440"/>
          <w:tab w:val="right" w:leader="underscore" w:pos="9072"/>
        </w:tabs>
        <w:rPr>
          <w:sz w:val="20"/>
        </w:rPr>
      </w:pPr>
    </w:p>
    <w:p w:rsidR="000D17E5" w:rsidRPr="006E6E2F" w:rsidRDefault="000D17E5" w:rsidP="00A15D45">
      <w:pPr>
        <w:pBdr>
          <w:bottom w:val="single" w:sz="6" w:space="1" w:color="auto"/>
        </w:pBdr>
        <w:tabs>
          <w:tab w:val="right" w:leader="underscore" w:pos="9072"/>
        </w:tabs>
        <w:rPr>
          <w:sz w:val="20"/>
        </w:rPr>
      </w:pPr>
    </w:p>
    <w:p w:rsidR="000D17E5" w:rsidRPr="006E6E2F" w:rsidRDefault="000D17E5" w:rsidP="009F4268">
      <w:pPr>
        <w:tabs>
          <w:tab w:val="left" w:pos="3150"/>
          <w:tab w:val="right" w:leader="underscore" w:pos="9072"/>
        </w:tabs>
        <w:rPr>
          <w:sz w:val="20"/>
        </w:rPr>
      </w:pPr>
    </w:p>
    <w:p w:rsidR="000D17E5" w:rsidRPr="006E6E2F" w:rsidRDefault="000D17E5" w:rsidP="009F4268">
      <w:pPr>
        <w:tabs>
          <w:tab w:val="left" w:pos="3150"/>
          <w:tab w:val="right" w:leader="underscore" w:pos="9072"/>
        </w:tabs>
        <w:rPr>
          <w:sz w:val="20"/>
        </w:rPr>
      </w:pPr>
      <w:r w:rsidRPr="006E6E2F">
        <w:rPr>
          <w:sz w:val="20"/>
        </w:rPr>
        <w:t>KEY COUNCIL POLICIES:</w:t>
      </w:r>
    </w:p>
    <w:p w:rsidR="000D17E5" w:rsidRPr="006E6E2F" w:rsidRDefault="000D17E5" w:rsidP="009F4268">
      <w:pPr>
        <w:tabs>
          <w:tab w:val="left" w:pos="3150"/>
          <w:tab w:val="right" w:leader="underscore" w:pos="9072"/>
        </w:tabs>
        <w:rPr>
          <w:sz w:val="20"/>
        </w:rPr>
      </w:pPr>
    </w:p>
    <w:p w:rsidR="000D17E5" w:rsidRPr="00734E0F" w:rsidRDefault="000D17E5" w:rsidP="00734E0F">
      <w:pPr>
        <w:tabs>
          <w:tab w:val="left" w:pos="3150"/>
          <w:tab w:val="right" w:leader="underscore" w:pos="9072"/>
        </w:tabs>
        <w:rPr>
          <w:b/>
          <w:bCs/>
          <w:szCs w:val="24"/>
        </w:rPr>
      </w:pPr>
      <w:r w:rsidRPr="00734E0F">
        <w:rPr>
          <w:b/>
          <w:bCs/>
          <w:szCs w:val="24"/>
        </w:rPr>
        <w:fldChar w:fldCharType="begin"/>
      </w:r>
      <w:r w:rsidRPr="00734E0F">
        <w:rPr>
          <w:b/>
          <w:bCs/>
          <w:szCs w:val="24"/>
        </w:rPr>
        <w:instrText xml:space="preserve"> AUTOTEXTLIST    \* MERGEFORMAT </w:instrText>
      </w:r>
      <w:r w:rsidRPr="00734E0F">
        <w:rPr>
          <w:b/>
          <w:bCs/>
          <w:szCs w:val="24"/>
        </w:rPr>
        <w:fldChar w:fldCharType="separate"/>
      </w:r>
      <w:r w:rsidRPr="00734E0F">
        <w:rPr>
          <w:b/>
          <w:bCs/>
          <w:szCs w:val="24"/>
        </w:rPr>
        <w:t>Greenspace Strategy</w:t>
      </w:r>
      <w:r w:rsidRPr="00734E0F">
        <w:rPr>
          <w:b/>
          <w:bCs/>
          <w:szCs w:val="24"/>
        </w:rPr>
        <w:fldChar w:fldCharType="end"/>
      </w:r>
    </w:p>
    <w:p w:rsidR="000D17E5" w:rsidRDefault="000D17E5" w:rsidP="00CE4C54">
      <w:pPr>
        <w:tabs>
          <w:tab w:val="right" w:leader="underscore" w:pos="9072"/>
        </w:tabs>
        <w:rPr>
          <w:sz w:val="20"/>
        </w:rPr>
      </w:pPr>
    </w:p>
    <w:p w:rsidR="000D17E5" w:rsidRPr="006E6E2F" w:rsidRDefault="000D17E5" w:rsidP="00CE4C54">
      <w:pPr>
        <w:pBdr>
          <w:bottom w:val="single" w:sz="6" w:space="1" w:color="auto"/>
        </w:pBdr>
        <w:tabs>
          <w:tab w:val="right" w:leader="underscore" w:pos="9072"/>
        </w:tabs>
        <w:rPr>
          <w:sz w:val="20"/>
        </w:rPr>
      </w:pPr>
    </w:p>
    <w:p w:rsidR="000D17E5" w:rsidRPr="006E6E2F" w:rsidRDefault="000D17E5" w:rsidP="00CE4C54">
      <w:pPr>
        <w:tabs>
          <w:tab w:val="left" w:pos="3150"/>
          <w:tab w:val="right" w:leader="underscore" w:pos="9072"/>
        </w:tabs>
        <w:rPr>
          <w:sz w:val="20"/>
        </w:rPr>
      </w:pPr>
    </w:p>
    <w:p w:rsidR="000D17E5" w:rsidRPr="006E6E2F" w:rsidRDefault="000D17E5" w:rsidP="009D5ED9">
      <w:pPr>
        <w:tabs>
          <w:tab w:val="right" w:leader="underscore" w:pos="9072"/>
        </w:tabs>
        <w:rPr>
          <w:sz w:val="20"/>
        </w:rPr>
      </w:pPr>
    </w:p>
    <w:p w:rsidR="000D17E5" w:rsidRDefault="000D17E5" w:rsidP="00A15D45">
      <w:pPr>
        <w:tabs>
          <w:tab w:val="left" w:pos="6570"/>
          <w:tab w:val="right" w:leader="underscore" w:pos="9072"/>
        </w:tabs>
        <w:rPr>
          <w:sz w:val="20"/>
        </w:rPr>
      </w:pPr>
      <w:r w:rsidRPr="006E6E2F">
        <w:rPr>
          <w:sz w:val="20"/>
        </w:rPr>
        <w:t xml:space="preserve">EQUALITY IMPACT ASSESSMENT AND IMPLICATIONS:- </w:t>
      </w:r>
    </w:p>
    <w:p w:rsidR="000D17E5" w:rsidRDefault="000D17E5" w:rsidP="00A15D45">
      <w:pPr>
        <w:tabs>
          <w:tab w:val="left" w:pos="6570"/>
          <w:tab w:val="right" w:leader="underscore" w:pos="9072"/>
        </w:tabs>
        <w:rPr>
          <w:sz w:val="20"/>
        </w:rPr>
      </w:pPr>
    </w:p>
    <w:p w:rsidR="000D17E5" w:rsidRPr="00E11287" w:rsidRDefault="000D17E5" w:rsidP="00A15D45">
      <w:pPr>
        <w:tabs>
          <w:tab w:val="left" w:pos="6570"/>
          <w:tab w:val="right" w:leader="underscore" w:pos="9072"/>
        </w:tabs>
        <w:rPr>
          <w:color w:val="FF0000"/>
          <w:szCs w:val="24"/>
        </w:rPr>
      </w:pPr>
      <w:r w:rsidRPr="00E11287">
        <w:rPr>
          <w:szCs w:val="24"/>
        </w:rPr>
        <w:t>There are no equality implications with regards to this proposal. The tendering exercise has ensured that equality matters were considered in the tender evaluation process.</w:t>
      </w:r>
    </w:p>
    <w:p w:rsidR="000D17E5" w:rsidRPr="006E6E2F" w:rsidRDefault="000D17E5" w:rsidP="009D5ED9">
      <w:pPr>
        <w:tabs>
          <w:tab w:val="right" w:leader="underscore" w:pos="9072"/>
        </w:tabs>
        <w:rPr>
          <w:sz w:val="20"/>
        </w:rPr>
      </w:pPr>
    </w:p>
    <w:p w:rsidR="000D17E5" w:rsidRDefault="000D17E5" w:rsidP="00695042">
      <w:pPr>
        <w:tabs>
          <w:tab w:val="left" w:pos="3060"/>
          <w:tab w:val="right" w:leader="underscore" w:pos="9072"/>
        </w:tabs>
        <w:rPr>
          <w:sz w:val="20"/>
        </w:rPr>
      </w:pPr>
      <w:r w:rsidRPr="006E6E2F">
        <w:rPr>
          <w:sz w:val="20"/>
        </w:rPr>
        <w:t>ASSESSMENT OF RISK:</w:t>
      </w:r>
    </w:p>
    <w:p w:rsidR="000D17E5" w:rsidRPr="006E6E2F" w:rsidRDefault="000D17E5" w:rsidP="00695042">
      <w:pPr>
        <w:tabs>
          <w:tab w:val="left" w:pos="3060"/>
          <w:tab w:val="right" w:leader="underscore" w:pos="9072"/>
        </w:tabs>
        <w:rPr>
          <w:sz w:val="20"/>
        </w:rPr>
      </w:pPr>
    </w:p>
    <w:p w:rsidR="000D17E5" w:rsidRPr="007C3835" w:rsidRDefault="000D17E5" w:rsidP="00CE4C54">
      <w:pPr>
        <w:rPr>
          <w:b/>
          <w:color w:val="FF0000"/>
        </w:rPr>
      </w:pPr>
      <w:r w:rsidRPr="00CE4C54">
        <w:rPr>
          <w:b/>
        </w:rPr>
        <w:t>Medium</w:t>
      </w:r>
      <w:r>
        <w:t>. This contract puts in place arrangements for the continued delivery of arboricultural services on improved financial terms. The existing contract has been exhausted and a new contract is required. Failure to enter into the contract will result in protracted discussions in relation to interim arrangements and there is a possibility that this will not achieve the financial benefits as outlined</w:t>
      </w:r>
      <w:r w:rsidRPr="007C3835">
        <w:rPr>
          <w:b/>
          <w:color w:val="FF0000"/>
        </w:rPr>
        <w:t xml:space="preserve"> </w:t>
      </w:r>
    </w:p>
    <w:p w:rsidR="000D17E5" w:rsidRPr="006E6E2F" w:rsidRDefault="000D17E5" w:rsidP="009D5ED9">
      <w:pPr>
        <w:tabs>
          <w:tab w:val="right" w:leader="underscore" w:pos="9072"/>
        </w:tabs>
        <w:rPr>
          <w:sz w:val="20"/>
        </w:rPr>
      </w:pPr>
    </w:p>
    <w:p w:rsidR="000D17E5" w:rsidRPr="006E6E2F" w:rsidRDefault="000D17E5" w:rsidP="00A15D45">
      <w:pPr>
        <w:pBdr>
          <w:bottom w:val="single" w:sz="6" w:space="1" w:color="auto"/>
        </w:pBdr>
        <w:tabs>
          <w:tab w:val="right" w:leader="underscore" w:pos="9072"/>
        </w:tabs>
        <w:rPr>
          <w:sz w:val="20"/>
        </w:rPr>
      </w:pPr>
    </w:p>
    <w:p w:rsidR="000D17E5" w:rsidRDefault="000D17E5" w:rsidP="00A15D45">
      <w:pPr>
        <w:tabs>
          <w:tab w:val="left" w:pos="2970"/>
          <w:tab w:val="right" w:leader="underscore" w:pos="9072"/>
        </w:tabs>
        <w:rPr>
          <w:sz w:val="20"/>
        </w:rPr>
      </w:pPr>
    </w:p>
    <w:p w:rsidR="000D17E5" w:rsidRPr="006E6E2F" w:rsidRDefault="000D17E5" w:rsidP="00A15D45">
      <w:pPr>
        <w:tabs>
          <w:tab w:val="left" w:pos="2970"/>
          <w:tab w:val="right" w:leader="underscore" w:pos="9072"/>
        </w:tabs>
        <w:rPr>
          <w:sz w:val="20"/>
        </w:rPr>
      </w:pPr>
      <w:r w:rsidRPr="006E6E2F">
        <w:rPr>
          <w:sz w:val="20"/>
        </w:rPr>
        <w:t xml:space="preserve">SOURCE OF FUNDING: </w:t>
      </w:r>
    </w:p>
    <w:p w:rsidR="000D17E5" w:rsidRPr="006E6E2F" w:rsidRDefault="000D17E5" w:rsidP="00A15D45">
      <w:pPr>
        <w:tabs>
          <w:tab w:val="left" w:pos="2970"/>
          <w:tab w:val="right" w:leader="underscore" w:pos="9072"/>
        </w:tabs>
        <w:rPr>
          <w:sz w:val="20"/>
        </w:rPr>
      </w:pPr>
    </w:p>
    <w:p w:rsidR="000D17E5" w:rsidRPr="00F94E2D" w:rsidRDefault="000D17E5" w:rsidP="00A67E49">
      <w:pPr>
        <w:tabs>
          <w:tab w:val="left" w:pos="2970"/>
          <w:tab w:val="right" w:leader="underscore" w:pos="9072"/>
        </w:tabs>
        <w:rPr>
          <w:bCs/>
          <w:szCs w:val="24"/>
        </w:rPr>
      </w:pPr>
      <w:r w:rsidRPr="00F94E2D">
        <w:rPr>
          <w:bCs/>
          <w:szCs w:val="24"/>
        </w:rPr>
        <w:fldChar w:fldCharType="begin"/>
      </w:r>
      <w:r w:rsidRPr="00F94E2D">
        <w:rPr>
          <w:bCs/>
          <w:szCs w:val="24"/>
        </w:rPr>
        <w:instrText xml:space="preserve"> AUTOTEXTLIST    \* MERGEFORMAT </w:instrText>
      </w:r>
      <w:r w:rsidRPr="00F94E2D">
        <w:rPr>
          <w:bCs/>
          <w:szCs w:val="24"/>
        </w:rPr>
        <w:fldChar w:fldCharType="separate"/>
      </w:r>
      <w:r w:rsidRPr="00F94E2D">
        <w:rPr>
          <w:bCs/>
          <w:szCs w:val="24"/>
        </w:rPr>
        <w:t>Funding to continue the service is within Environment and Community Safety Directorate’s revenue budget.</w:t>
      </w:r>
      <w:r w:rsidRPr="00F94E2D">
        <w:rPr>
          <w:bCs/>
          <w:szCs w:val="24"/>
        </w:rPr>
        <w:fldChar w:fldCharType="end"/>
      </w:r>
    </w:p>
    <w:p w:rsidR="000D17E5" w:rsidRPr="006E6E2F" w:rsidRDefault="000D17E5" w:rsidP="00A15D45">
      <w:pPr>
        <w:pBdr>
          <w:bottom w:val="single" w:sz="6" w:space="1" w:color="auto"/>
        </w:pBdr>
        <w:tabs>
          <w:tab w:val="right" w:leader="underscore" w:pos="9072"/>
        </w:tabs>
        <w:rPr>
          <w:sz w:val="20"/>
        </w:rPr>
      </w:pPr>
    </w:p>
    <w:p w:rsidR="000D17E5" w:rsidRPr="006E6E2F" w:rsidRDefault="000D17E5" w:rsidP="009D5ED9">
      <w:pPr>
        <w:tabs>
          <w:tab w:val="right" w:leader="underscore" w:pos="9072"/>
        </w:tabs>
        <w:rPr>
          <w:sz w:val="20"/>
        </w:rPr>
      </w:pPr>
    </w:p>
    <w:p w:rsidR="000D17E5" w:rsidRPr="006E6E2F" w:rsidRDefault="000D17E5" w:rsidP="00A15D45">
      <w:pPr>
        <w:tabs>
          <w:tab w:val="left" w:pos="4140"/>
          <w:tab w:val="right" w:leader="underscore" w:pos="9072"/>
        </w:tabs>
        <w:rPr>
          <w:sz w:val="20"/>
        </w:rPr>
      </w:pPr>
      <w:r>
        <w:rPr>
          <w:sz w:val="20"/>
        </w:rPr>
        <w:t>LEGAL IMPLICATIONS:</w:t>
      </w:r>
    </w:p>
    <w:p w:rsidR="000D17E5" w:rsidRPr="006E6E2F" w:rsidRDefault="000D17E5" w:rsidP="00A15D45">
      <w:pPr>
        <w:tabs>
          <w:tab w:val="left" w:pos="4140"/>
          <w:tab w:val="right" w:leader="underscore" w:pos="9072"/>
        </w:tabs>
        <w:rPr>
          <w:sz w:val="20"/>
        </w:rPr>
      </w:pPr>
    </w:p>
    <w:p w:rsidR="000D17E5" w:rsidRPr="00F94E2D" w:rsidRDefault="000D17E5" w:rsidP="00A67E49">
      <w:pPr>
        <w:tabs>
          <w:tab w:val="left" w:pos="4140"/>
          <w:tab w:val="right" w:leader="underscore" w:pos="9072"/>
        </w:tabs>
        <w:rPr>
          <w:bCs/>
          <w:szCs w:val="24"/>
        </w:rPr>
      </w:pPr>
      <w:r w:rsidRPr="00F94E2D">
        <w:rPr>
          <w:bCs/>
          <w:szCs w:val="24"/>
        </w:rPr>
        <w:fldChar w:fldCharType="begin"/>
      </w:r>
      <w:r w:rsidRPr="00F94E2D">
        <w:rPr>
          <w:bCs/>
          <w:szCs w:val="24"/>
        </w:rPr>
        <w:instrText xml:space="preserve"> AUTOTEXTLIST    \* MERGEFORMAT </w:instrText>
      </w:r>
      <w:r w:rsidRPr="00F94E2D">
        <w:rPr>
          <w:bCs/>
          <w:szCs w:val="24"/>
        </w:rPr>
        <w:fldChar w:fldCharType="separate"/>
      </w:r>
      <w:r w:rsidRPr="00F94E2D">
        <w:rPr>
          <w:bCs/>
          <w:szCs w:val="24"/>
        </w:rPr>
        <w:t>Failure to manage the City’s tree stock could lead to significant financial claims against the City Council in the event of accidents caused by tree associated damage.</w:t>
      </w:r>
      <w:r w:rsidRPr="00F94E2D">
        <w:rPr>
          <w:bCs/>
          <w:szCs w:val="24"/>
        </w:rPr>
        <w:fldChar w:fldCharType="end"/>
      </w:r>
    </w:p>
    <w:p w:rsidR="000D17E5" w:rsidRPr="006E6E2F" w:rsidRDefault="000D17E5" w:rsidP="00A15D45">
      <w:pPr>
        <w:pBdr>
          <w:bottom w:val="single" w:sz="6" w:space="1" w:color="auto"/>
        </w:pBdr>
        <w:tabs>
          <w:tab w:val="right" w:leader="underscore" w:pos="9072"/>
        </w:tabs>
        <w:rPr>
          <w:sz w:val="20"/>
        </w:rPr>
      </w:pPr>
    </w:p>
    <w:p w:rsidR="000D17E5" w:rsidRPr="006E6E2F" w:rsidRDefault="000D17E5" w:rsidP="009D5ED9">
      <w:pPr>
        <w:tabs>
          <w:tab w:val="right" w:leader="underscore" w:pos="9072"/>
        </w:tabs>
        <w:rPr>
          <w:sz w:val="20"/>
        </w:rPr>
      </w:pPr>
    </w:p>
    <w:p w:rsidR="000D17E5" w:rsidRPr="006E6E2F" w:rsidRDefault="000D17E5" w:rsidP="004C0654">
      <w:pPr>
        <w:tabs>
          <w:tab w:val="left" w:pos="4140"/>
          <w:tab w:val="right" w:leader="underscore" w:pos="9072"/>
        </w:tabs>
        <w:rPr>
          <w:color w:val="FF0000"/>
          <w:sz w:val="20"/>
        </w:rPr>
      </w:pPr>
      <w:r w:rsidRPr="006E6E2F">
        <w:rPr>
          <w:sz w:val="20"/>
        </w:rPr>
        <w:t xml:space="preserve">FINANCIAL IMPLICATIONS Supplied by </w:t>
      </w:r>
      <w:r w:rsidRPr="006E6E2F">
        <w:rPr>
          <w:color w:val="FF0000"/>
          <w:sz w:val="20"/>
        </w:rPr>
        <w:t xml:space="preserve"> :-</w:t>
      </w:r>
    </w:p>
    <w:p w:rsidR="000D17E5" w:rsidRPr="006E6E2F" w:rsidRDefault="000D17E5" w:rsidP="004C0654">
      <w:pPr>
        <w:tabs>
          <w:tab w:val="left" w:pos="4140"/>
          <w:tab w:val="right" w:leader="underscore" w:pos="9072"/>
        </w:tabs>
        <w:rPr>
          <w:color w:val="FF0000"/>
          <w:sz w:val="20"/>
        </w:rPr>
      </w:pPr>
    </w:p>
    <w:p w:rsidR="000D17E5" w:rsidRPr="009779CD" w:rsidRDefault="000D17E5" w:rsidP="00CE4C54">
      <w:r w:rsidRPr="009779CD">
        <w:t>Paul Guest, Group Accountant</w:t>
      </w:r>
    </w:p>
    <w:p w:rsidR="000D17E5" w:rsidRPr="009779CD" w:rsidRDefault="000D17E5" w:rsidP="00CE4C54"/>
    <w:p w:rsidR="000D17E5" w:rsidRPr="009779CD" w:rsidRDefault="000D17E5" w:rsidP="00CE4C54">
      <w:r w:rsidRPr="009779CD">
        <w:t>The project is 100% financed for the duration of the contract</w:t>
      </w:r>
      <w:r>
        <w:t xml:space="preserve"> period</w:t>
      </w:r>
    </w:p>
    <w:p w:rsidR="000D17E5" w:rsidRPr="006E6E2F" w:rsidRDefault="000D17E5" w:rsidP="00A15D45">
      <w:pPr>
        <w:pBdr>
          <w:bottom w:val="single" w:sz="6" w:space="1" w:color="auto"/>
        </w:pBdr>
        <w:tabs>
          <w:tab w:val="right" w:leader="underscore" w:pos="9072"/>
        </w:tabs>
        <w:rPr>
          <w:sz w:val="20"/>
        </w:rPr>
      </w:pPr>
    </w:p>
    <w:p w:rsidR="000D17E5" w:rsidRPr="006E6E2F" w:rsidRDefault="000D17E5" w:rsidP="00695042">
      <w:pPr>
        <w:tabs>
          <w:tab w:val="left" w:pos="4680"/>
          <w:tab w:val="right" w:leader="underscore" w:pos="9072"/>
        </w:tabs>
        <w:rPr>
          <w:sz w:val="20"/>
        </w:rPr>
      </w:pPr>
    </w:p>
    <w:p w:rsidR="000D17E5" w:rsidRPr="00F94E2D" w:rsidRDefault="000D17E5" w:rsidP="00A15D45">
      <w:pPr>
        <w:tabs>
          <w:tab w:val="left" w:pos="4680"/>
          <w:tab w:val="right" w:leader="underscore" w:pos="9072"/>
        </w:tabs>
        <w:rPr>
          <w:szCs w:val="24"/>
        </w:rPr>
      </w:pPr>
      <w:r w:rsidRPr="00F94E2D">
        <w:rPr>
          <w:szCs w:val="24"/>
        </w:rPr>
        <w:t>OTHER DIRECTORATES CONSULTED :-</w:t>
      </w:r>
    </w:p>
    <w:p w:rsidR="000D17E5" w:rsidRPr="006E6E2F" w:rsidRDefault="000D17E5" w:rsidP="00A15D45">
      <w:pPr>
        <w:tabs>
          <w:tab w:val="left" w:pos="4680"/>
          <w:tab w:val="right" w:leader="underscore" w:pos="9072"/>
        </w:tabs>
        <w:rPr>
          <w:sz w:val="20"/>
        </w:rPr>
      </w:pPr>
    </w:p>
    <w:p w:rsidR="000D17E5" w:rsidRPr="009779CD" w:rsidRDefault="000D17E5" w:rsidP="00A15D45">
      <w:pPr>
        <w:tabs>
          <w:tab w:val="left" w:pos="4680"/>
          <w:tab w:val="right" w:leader="underscore" w:pos="9072"/>
        </w:tabs>
        <w:rPr>
          <w:b/>
          <w:bCs/>
          <w:sz w:val="20"/>
        </w:rPr>
      </w:pPr>
      <w:r w:rsidRPr="009779CD">
        <w:rPr>
          <w:b/>
          <w:bCs/>
          <w:sz w:val="20"/>
        </w:rPr>
        <w:t>NA</w:t>
      </w:r>
    </w:p>
    <w:p w:rsidR="000D17E5" w:rsidRPr="006E6E2F" w:rsidRDefault="000D17E5" w:rsidP="00A15D45">
      <w:pPr>
        <w:pBdr>
          <w:bottom w:val="single" w:sz="6" w:space="1" w:color="auto"/>
        </w:pBdr>
        <w:tabs>
          <w:tab w:val="right" w:leader="underscore" w:pos="9072"/>
        </w:tabs>
        <w:rPr>
          <w:sz w:val="20"/>
        </w:rPr>
      </w:pPr>
    </w:p>
    <w:p w:rsidR="000D17E5" w:rsidRPr="006E6E2F" w:rsidRDefault="000D17E5" w:rsidP="009F4268">
      <w:pPr>
        <w:tabs>
          <w:tab w:val="left" w:pos="2700"/>
          <w:tab w:val="left" w:pos="5040"/>
          <w:tab w:val="left" w:pos="6300"/>
          <w:tab w:val="right" w:leader="underscore" w:pos="9072"/>
        </w:tabs>
        <w:rPr>
          <w:sz w:val="20"/>
        </w:rPr>
      </w:pPr>
    </w:p>
    <w:p w:rsidR="000D17E5" w:rsidRPr="006E6E2F" w:rsidRDefault="000D17E5" w:rsidP="00A67E49">
      <w:pPr>
        <w:tabs>
          <w:tab w:val="left" w:pos="2700"/>
          <w:tab w:val="left" w:pos="5040"/>
          <w:tab w:val="left" w:pos="6300"/>
          <w:tab w:val="right" w:leader="underscore" w:pos="9072"/>
        </w:tabs>
        <w:rPr>
          <w:b/>
          <w:bCs/>
          <w:sz w:val="20"/>
        </w:rPr>
      </w:pPr>
      <w:r w:rsidRPr="006E6E2F">
        <w:rPr>
          <w:sz w:val="20"/>
        </w:rPr>
        <w:t>CONTACT OFFICER:</w:t>
      </w:r>
      <w:r w:rsidRPr="006E6E2F">
        <w:rPr>
          <w:sz w:val="20"/>
        </w:rPr>
        <w:tab/>
      </w:r>
      <w:r>
        <w:rPr>
          <w:sz w:val="20"/>
        </w:rPr>
        <w:t>Damian Thornton</w:t>
      </w:r>
      <w:r w:rsidRPr="006E6E2F">
        <w:rPr>
          <w:sz w:val="20"/>
        </w:rPr>
        <w:tab/>
        <w:t>TEL. NO.</w:t>
      </w:r>
      <w:r w:rsidRPr="006E6E2F">
        <w:rPr>
          <w:sz w:val="20"/>
        </w:rPr>
        <w:tab/>
      </w:r>
      <w:r>
        <w:rPr>
          <w:sz w:val="20"/>
        </w:rPr>
        <w:t>925 1011</w:t>
      </w:r>
    </w:p>
    <w:p w:rsidR="000D17E5" w:rsidRPr="006E6E2F" w:rsidRDefault="000D17E5" w:rsidP="00960B42">
      <w:pPr>
        <w:pBdr>
          <w:bottom w:val="single" w:sz="6" w:space="1" w:color="auto"/>
        </w:pBdr>
        <w:tabs>
          <w:tab w:val="right" w:leader="underscore" w:pos="9072"/>
        </w:tabs>
        <w:rPr>
          <w:sz w:val="20"/>
        </w:rPr>
      </w:pPr>
    </w:p>
    <w:p w:rsidR="000D17E5" w:rsidRPr="006E6E2F" w:rsidRDefault="000D17E5" w:rsidP="009D5ED9">
      <w:pPr>
        <w:tabs>
          <w:tab w:val="right" w:leader="underscore" w:pos="9072"/>
        </w:tabs>
        <w:rPr>
          <w:sz w:val="20"/>
        </w:rPr>
      </w:pPr>
    </w:p>
    <w:p w:rsidR="000D17E5" w:rsidRPr="006E6E2F" w:rsidRDefault="000D17E5" w:rsidP="00695042">
      <w:pPr>
        <w:tabs>
          <w:tab w:val="left" w:pos="5130"/>
          <w:tab w:val="right" w:leader="underscore" w:pos="9072"/>
        </w:tabs>
        <w:rPr>
          <w:sz w:val="20"/>
        </w:rPr>
      </w:pPr>
      <w:r w:rsidRPr="006E6E2F">
        <w:rPr>
          <w:sz w:val="20"/>
        </w:rPr>
        <w:t>WARD(S) TO WHICH REPORT RELATE(S):</w:t>
      </w:r>
    </w:p>
    <w:p w:rsidR="000D17E5" w:rsidRPr="006E6E2F" w:rsidRDefault="000D17E5" w:rsidP="00695042">
      <w:pPr>
        <w:tabs>
          <w:tab w:val="left" w:pos="5130"/>
          <w:tab w:val="right" w:leader="underscore" w:pos="9072"/>
        </w:tabs>
        <w:rPr>
          <w:sz w:val="20"/>
        </w:rPr>
      </w:pPr>
    </w:p>
    <w:p w:rsidR="000D17E5" w:rsidRPr="006E6E2F" w:rsidRDefault="000D17E5" w:rsidP="00A67E49">
      <w:pPr>
        <w:tabs>
          <w:tab w:val="left" w:pos="5130"/>
          <w:tab w:val="right" w:leader="underscore" w:pos="9072"/>
        </w:tabs>
        <w:rPr>
          <w:b/>
          <w:bCs/>
          <w:sz w:val="20"/>
        </w:rPr>
      </w:pPr>
      <w:r w:rsidRPr="006E6E2F">
        <w:rPr>
          <w:b/>
          <w:bCs/>
          <w:sz w:val="20"/>
        </w:rPr>
        <w:fldChar w:fldCharType="begin"/>
      </w:r>
      <w:r w:rsidRPr="006E6E2F">
        <w:rPr>
          <w:b/>
          <w:bCs/>
          <w:sz w:val="20"/>
        </w:rPr>
        <w:instrText xml:space="preserve"> AUTOTEXTLIST    \* MERGEFORMAT </w:instrText>
      </w:r>
      <w:r w:rsidRPr="006E6E2F">
        <w:rPr>
          <w:b/>
          <w:bCs/>
          <w:sz w:val="20"/>
        </w:rPr>
        <w:fldChar w:fldCharType="separate"/>
      </w:r>
      <w:r>
        <w:rPr>
          <w:b/>
          <w:bCs/>
          <w:sz w:val="20"/>
        </w:rPr>
        <w:t>All Wards</w:t>
      </w:r>
      <w:r w:rsidRPr="006E6E2F">
        <w:rPr>
          <w:b/>
          <w:bCs/>
          <w:sz w:val="20"/>
        </w:rPr>
        <w:fldChar w:fldCharType="end"/>
      </w:r>
    </w:p>
    <w:p w:rsidR="000D17E5" w:rsidRPr="006E6E2F" w:rsidRDefault="000D17E5" w:rsidP="006E6E2F">
      <w:pPr>
        <w:pBdr>
          <w:bottom w:val="single" w:sz="6" w:space="1" w:color="auto"/>
        </w:pBdr>
        <w:tabs>
          <w:tab w:val="left" w:pos="5130"/>
          <w:tab w:val="right" w:leader="underscore" w:pos="9072"/>
        </w:tabs>
        <w:rPr>
          <w:b/>
          <w:bCs/>
          <w:sz w:val="20"/>
        </w:rPr>
      </w:pPr>
    </w:p>
    <w:p w:rsidR="000D17E5" w:rsidRPr="006E6E2F" w:rsidRDefault="000D17E5" w:rsidP="006E6E2F">
      <w:pPr>
        <w:tabs>
          <w:tab w:val="left" w:pos="5130"/>
          <w:tab w:val="right" w:leader="underscore" w:pos="9072"/>
        </w:tabs>
        <w:jc w:val="both"/>
        <w:rPr>
          <w:b/>
          <w:bCs/>
          <w:sz w:val="20"/>
        </w:rPr>
      </w:pPr>
    </w:p>
    <w:sectPr w:rsidR="000D17E5" w:rsidRPr="006E6E2F" w:rsidSect="00455D4C">
      <w:pgSz w:w="11906" w:h="16838"/>
      <w:pgMar w:top="1440" w:right="1440" w:bottom="1440" w:left="144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7E5" w:rsidRDefault="000D17E5">
      <w:r>
        <w:separator/>
      </w:r>
    </w:p>
  </w:endnote>
  <w:endnote w:type="continuationSeparator" w:id="0">
    <w:p w:rsidR="000D17E5" w:rsidRDefault="000D17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7E5" w:rsidRDefault="000D17E5">
      <w:r>
        <w:separator/>
      </w:r>
    </w:p>
  </w:footnote>
  <w:footnote w:type="continuationSeparator" w:id="0">
    <w:p w:rsidR="000D17E5" w:rsidRDefault="000D17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44B51"/>
    <w:multiLevelType w:val="hybridMultilevel"/>
    <w:tmpl w:val="0CF8CB0C"/>
    <w:lvl w:ilvl="0" w:tplc="04090001">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
    <w:nsid w:val="52B523C4"/>
    <w:multiLevelType w:val="hybridMultilevel"/>
    <w:tmpl w:val="B8286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333F"/>
    <w:rsid w:val="00084DAB"/>
    <w:rsid w:val="000C2F18"/>
    <w:rsid w:val="000D17E5"/>
    <w:rsid w:val="000D1A40"/>
    <w:rsid w:val="000E70B1"/>
    <w:rsid w:val="000F056A"/>
    <w:rsid w:val="001125DD"/>
    <w:rsid w:val="00133F42"/>
    <w:rsid w:val="00143DC6"/>
    <w:rsid w:val="00174894"/>
    <w:rsid w:val="001C4BED"/>
    <w:rsid w:val="001E78AC"/>
    <w:rsid w:val="00262661"/>
    <w:rsid w:val="00277720"/>
    <w:rsid w:val="002A4417"/>
    <w:rsid w:val="002C2A1D"/>
    <w:rsid w:val="002C525C"/>
    <w:rsid w:val="00311F2C"/>
    <w:rsid w:val="003F09A4"/>
    <w:rsid w:val="0041333F"/>
    <w:rsid w:val="00430E00"/>
    <w:rsid w:val="00452DCE"/>
    <w:rsid w:val="00455D4C"/>
    <w:rsid w:val="004621C8"/>
    <w:rsid w:val="004C0654"/>
    <w:rsid w:val="00541B7B"/>
    <w:rsid w:val="00543376"/>
    <w:rsid w:val="005C2D08"/>
    <w:rsid w:val="005E0920"/>
    <w:rsid w:val="005E63F9"/>
    <w:rsid w:val="005F1F8E"/>
    <w:rsid w:val="00607E35"/>
    <w:rsid w:val="00631149"/>
    <w:rsid w:val="00633EE7"/>
    <w:rsid w:val="00677358"/>
    <w:rsid w:val="00695042"/>
    <w:rsid w:val="006E6E2F"/>
    <w:rsid w:val="007223DA"/>
    <w:rsid w:val="00734E0F"/>
    <w:rsid w:val="007745C4"/>
    <w:rsid w:val="00774DCE"/>
    <w:rsid w:val="007C3835"/>
    <w:rsid w:val="00806EBF"/>
    <w:rsid w:val="00822E13"/>
    <w:rsid w:val="00887258"/>
    <w:rsid w:val="008C795C"/>
    <w:rsid w:val="008E54FD"/>
    <w:rsid w:val="00960B42"/>
    <w:rsid w:val="009779CD"/>
    <w:rsid w:val="009835E0"/>
    <w:rsid w:val="009915D2"/>
    <w:rsid w:val="009D5ED9"/>
    <w:rsid w:val="009E44C8"/>
    <w:rsid w:val="009F30C7"/>
    <w:rsid w:val="009F4268"/>
    <w:rsid w:val="00A0099A"/>
    <w:rsid w:val="00A029A7"/>
    <w:rsid w:val="00A15D45"/>
    <w:rsid w:val="00A67E49"/>
    <w:rsid w:val="00A93597"/>
    <w:rsid w:val="00AA0E32"/>
    <w:rsid w:val="00AA7370"/>
    <w:rsid w:val="00AB502C"/>
    <w:rsid w:val="00AF4E08"/>
    <w:rsid w:val="00B0488A"/>
    <w:rsid w:val="00B16E14"/>
    <w:rsid w:val="00B4166B"/>
    <w:rsid w:val="00B44F93"/>
    <w:rsid w:val="00B85375"/>
    <w:rsid w:val="00C6135C"/>
    <w:rsid w:val="00C8218C"/>
    <w:rsid w:val="00C85EB1"/>
    <w:rsid w:val="00CE4C54"/>
    <w:rsid w:val="00D41941"/>
    <w:rsid w:val="00D61856"/>
    <w:rsid w:val="00D63DC7"/>
    <w:rsid w:val="00D971F0"/>
    <w:rsid w:val="00E11287"/>
    <w:rsid w:val="00E758CC"/>
    <w:rsid w:val="00E84614"/>
    <w:rsid w:val="00ED2178"/>
    <w:rsid w:val="00F231F7"/>
    <w:rsid w:val="00F62321"/>
    <w:rsid w:val="00F76E83"/>
    <w:rsid w:val="00F82177"/>
    <w:rsid w:val="00F91652"/>
    <w:rsid w:val="00F94E2D"/>
    <w:rsid w:val="00F95EB6"/>
    <w:rsid w:val="00F977F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D4C"/>
    <w:rPr>
      <w:rFonts w:ascii="Arial" w:hAnsi="Arial"/>
      <w:sz w:val="24"/>
      <w:szCs w:val="20"/>
      <w:lang w:eastAsia="en-US"/>
    </w:rPr>
  </w:style>
  <w:style w:type="paragraph" w:styleId="Heading1">
    <w:name w:val="heading 1"/>
    <w:basedOn w:val="Normal"/>
    <w:next w:val="Normal"/>
    <w:link w:val="Heading1Char"/>
    <w:uiPriority w:val="99"/>
    <w:qFormat/>
    <w:rsid w:val="00455D4C"/>
    <w:pPr>
      <w:keepNext/>
      <w:ind w:left="720" w:hanging="720"/>
      <w:outlineLvl w:val="0"/>
    </w:pPr>
    <w:rPr>
      <w:u w:val="single"/>
    </w:rPr>
  </w:style>
  <w:style w:type="paragraph" w:styleId="Heading2">
    <w:name w:val="heading 2"/>
    <w:basedOn w:val="Normal"/>
    <w:next w:val="Normal"/>
    <w:link w:val="Heading2Char"/>
    <w:uiPriority w:val="99"/>
    <w:qFormat/>
    <w:rsid w:val="00455D4C"/>
    <w:pPr>
      <w:keepNext/>
      <w:outlineLvl w:val="1"/>
    </w:pPr>
    <w:rPr>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E9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30E97"/>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rsid w:val="00455D4C"/>
    <w:pPr>
      <w:tabs>
        <w:tab w:val="center" w:pos="4153"/>
        <w:tab w:val="right" w:pos="8306"/>
      </w:tabs>
    </w:pPr>
  </w:style>
  <w:style w:type="character" w:customStyle="1" w:styleId="HeaderChar">
    <w:name w:val="Header Char"/>
    <w:basedOn w:val="DefaultParagraphFont"/>
    <w:link w:val="Header"/>
    <w:uiPriority w:val="99"/>
    <w:semiHidden/>
    <w:rsid w:val="00630E97"/>
    <w:rPr>
      <w:rFonts w:ascii="Arial" w:hAnsi="Arial"/>
      <w:sz w:val="24"/>
      <w:szCs w:val="20"/>
      <w:lang w:eastAsia="en-US"/>
    </w:rPr>
  </w:style>
  <w:style w:type="paragraph" w:styleId="Footer">
    <w:name w:val="footer"/>
    <w:basedOn w:val="Normal"/>
    <w:link w:val="FooterChar"/>
    <w:uiPriority w:val="99"/>
    <w:rsid w:val="00455D4C"/>
    <w:pPr>
      <w:tabs>
        <w:tab w:val="center" w:pos="4153"/>
        <w:tab w:val="right" w:pos="8306"/>
      </w:tabs>
    </w:pPr>
  </w:style>
  <w:style w:type="character" w:customStyle="1" w:styleId="FooterChar">
    <w:name w:val="Footer Char"/>
    <w:basedOn w:val="DefaultParagraphFont"/>
    <w:link w:val="Footer"/>
    <w:uiPriority w:val="99"/>
    <w:semiHidden/>
    <w:rsid w:val="00630E97"/>
    <w:rPr>
      <w:rFonts w:ascii="Arial" w:hAnsi="Arial"/>
      <w:sz w:val="24"/>
      <w:szCs w:val="20"/>
      <w:lang w:eastAsia="en-US"/>
    </w:rPr>
  </w:style>
  <w:style w:type="table" w:styleId="TableGrid">
    <w:name w:val="Table Grid"/>
    <w:basedOn w:val="TableNormal"/>
    <w:uiPriority w:val="99"/>
    <w:rsid w:val="009D5E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F30C7"/>
    <w:rPr>
      <w:rFonts w:ascii="Tahoma" w:hAnsi="Tahoma" w:cs="Tahoma"/>
      <w:sz w:val="16"/>
      <w:szCs w:val="16"/>
    </w:rPr>
  </w:style>
  <w:style w:type="character" w:customStyle="1" w:styleId="BalloonTextChar">
    <w:name w:val="Balloon Text Char"/>
    <w:basedOn w:val="DefaultParagraphFont"/>
    <w:link w:val="BalloonText"/>
    <w:uiPriority w:val="99"/>
    <w:semiHidden/>
    <w:rsid w:val="00630E97"/>
    <w:rPr>
      <w:sz w:val="0"/>
      <w:szCs w:val="0"/>
      <w:lang w:eastAsia="en-US"/>
    </w:rPr>
  </w:style>
  <w:style w:type="paragraph" w:styleId="NormalWeb">
    <w:name w:val="Normal (Web)"/>
    <w:basedOn w:val="Normal"/>
    <w:uiPriority w:val="99"/>
    <w:rsid w:val="00A67E49"/>
    <w:pPr>
      <w:spacing w:before="100" w:beforeAutospacing="1" w:after="100" w:afterAutospacing="1"/>
    </w:pPr>
    <w:rPr>
      <w:rFonts w:ascii="Times New Roman" w:hAnsi="Times New Roman"/>
      <w:szCs w:val="24"/>
      <w:lang w:eastAsia="en-GB"/>
    </w:rPr>
  </w:style>
  <w:style w:type="character" w:customStyle="1" w:styleId="bodytext1">
    <w:name w:val="bodytext1"/>
    <w:basedOn w:val="DefaultParagraphFont"/>
    <w:uiPriority w:val="99"/>
    <w:rsid w:val="00A67E49"/>
    <w:rPr>
      <w:rFonts w:ascii="Arial" w:hAnsi="Arial" w:cs="Arial"/>
      <w:color w:val="000000"/>
      <w:sz w:val="14"/>
      <w:szCs w:val="14"/>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785</Words>
  <Characters>4475</Characters>
  <Application>Microsoft Office Outlook</Application>
  <DocSecurity>0</DocSecurity>
  <Lines>0</Lines>
  <Paragraphs>0</Paragraphs>
  <ScaleCrop>false</ScaleCrop>
  <Company>city of salford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subject/>
  <dc:creator>Pat Taylor</dc:creator>
  <cp:keywords/>
  <dc:description/>
  <cp:lastModifiedBy>csecmrelph</cp:lastModifiedBy>
  <cp:revision>2</cp:revision>
  <cp:lastPrinted>2012-03-05T09:37:00Z</cp:lastPrinted>
  <dcterms:created xsi:type="dcterms:W3CDTF">2012-03-19T10:33:00Z</dcterms:created>
  <dcterms:modified xsi:type="dcterms:W3CDTF">2012-03-19T10:33:00Z</dcterms:modified>
</cp:coreProperties>
</file>