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D1" w:rsidRPr="007F183B" w:rsidRDefault="002E3DD1" w:rsidP="0002305F">
      <w:pPr>
        <w:jc w:val="center"/>
        <w:rPr>
          <w:rFonts w:ascii="Arial" w:hAnsi="Arial" w:cs="Arial"/>
          <w:b/>
          <w:sz w:val="40"/>
          <w:szCs w:val="40"/>
        </w:rPr>
      </w:pPr>
      <w:r w:rsidRPr="007F183B">
        <w:rPr>
          <w:rFonts w:ascii="Arial" w:hAnsi="Arial" w:cs="Arial"/>
          <w:b/>
          <w:sz w:val="40"/>
          <w:szCs w:val="40"/>
        </w:rPr>
        <w:t xml:space="preserve">Pendleton </w:t>
      </w:r>
      <w:r>
        <w:rPr>
          <w:rFonts w:ascii="Arial" w:hAnsi="Arial" w:cs="Arial"/>
          <w:b/>
          <w:sz w:val="40"/>
          <w:szCs w:val="40"/>
        </w:rPr>
        <w:t>Neighbourhood Panel</w:t>
      </w:r>
      <w:r w:rsidRPr="007F183B">
        <w:rPr>
          <w:rFonts w:ascii="Arial" w:hAnsi="Arial" w:cs="Arial"/>
          <w:b/>
          <w:sz w:val="40"/>
          <w:szCs w:val="40"/>
        </w:rPr>
        <w:t xml:space="preserve">, </w:t>
      </w:r>
    </w:p>
    <w:p w:rsidR="002E3DD1" w:rsidRPr="007F183B" w:rsidRDefault="002E3DD1" w:rsidP="0002305F">
      <w:pPr>
        <w:jc w:val="center"/>
        <w:rPr>
          <w:rFonts w:ascii="Arial" w:hAnsi="Arial" w:cs="Arial"/>
          <w:b/>
          <w:sz w:val="28"/>
          <w:szCs w:val="28"/>
        </w:rPr>
      </w:pPr>
      <w:r w:rsidRPr="007F183B">
        <w:rPr>
          <w:rFonts w:ascii="Arial" w:hAnsi="Arial" w:cs="Arial"/>
          <w:b/>
          <w:sz w:val="28"/>
          <w:szCs w:val="28"/>
        </w:rPr>
        <w:t>Minutes of Meeting</w:t>
      </w:r>
      <w:r>
        <w:rPr>
          <w:rFonts w:ascii="Arial" w:hAnsi="Arial" w:cs="Arial"/>
          <w:b/>
          <w:sz w:val="28"/>
          <w:szCs w:val="28"/>
        </w:rPr>
        <w:t xml:space="preserve"> 29</w:t>
      </w:r>
      <w:r w:rsidRPr="0003360F">
        <w:rPr>
          <w:rFonts w:ascii="Arial" w:hAnsi="Arial" w:cs="Arial"/>
          <w:b/>
          <w:sz w:val="28"/>
          <w:szCs w:val="28"/>
          <w:vertAlign w:val="superscript"/>
        </w:rPr>
        <w:t>th</w:t>
      </w:r>
      <w:r>
        <w:rPr>
          <w:rFonts w:ascii="Arial" w:hAnsi="Arial" w:cs="Arial"/>
          <w:b/>
          <w:sz w:val="28"/>
          <w:szCs w:val="28"/>
        </w:rPr>
        <w:t xml:space="preserve"> July 20010</w:t>
      </w:r>
    </w:p>
    <w:p w:rsidR="002E3DD1" w:rsidRDefault="002E3DD1" w:rsidP="0002305F">
      <w:pPr>
        <w:rPr>
          <w:rFonts w:ascii="Arial" w:hAnsi="Arial" w:cs="Arial"/>
          <w:b/>
        </w:rPr>
      </w:pPr>
      <w:r w:rsidRPr="00671C43">
        <w:rPr>
          <w:rFonts w:ascii="Arial" w:hAnsi="Arial" w:cs="Arial"/>
        </w:rPr>
        <w:pict>
          <v:rect id="_x0000_i1025" style="width:0;height:1.5pt" o:hralign="center" o:hrstd="t" o:hr="t" fillcolor="#9d9da1" stroked="f"/>
        </w:pict>
      </w:r>
    </w:p>
    <w:p w:rsidR="002E3DD1" w:rsidRDefault="002E3DD1" w:rsidP="0002305F">
      <w:pPr>
        <w:rPr>
          <w:rFonts w:ascii="Arial" w:hAnsi="Arial" w:cs="Arial"/>
          <w:b/>
        </w:rPr>
      </w:pPr>
      <w:r>
        <w:rPr>
          <w:rFonts w:ascii="Arial" w:hAnsi="Arial" w:cs="Arial"/>
          <w:b/>
        </w:rPr>
        <w:t>In attendance:</w:t>
      </w:r>
    </w:p>
    <w:p w:rsidR="002E3DD1" w:rsidRDefault="002E3DD1" w:rsidP="0002305F">
      <w:pPr>
        <w:tabs>
          <w:tab w:val="left" w:pos="7020"/>
        </w:tabs>
        <w:rPr>
          <w:rFonts w:ascii="Arial" w:hAnsi="Arial" w:cs="Arial"/>
          <w:b/>
          <w:i/>
          <w:sz w:val="20"/>
          <w:szCs w:val="20"/>
        </w:rPr>
      </w:pPr>
      <w:r>
        <w:rPr>
          <w:rFonts w:ascii="Arial" w:hAnsi="Arial" w:cs="Arial"/>
          <w:b/>
          <w:i/>
          <w:sz w:val="20"/>
          <w:szCs w:val="20"/>
        </w:rPr>
        <w:t xml:space="preserve">                                                                                                                             </w:t>
      </w:r>
      <w:r w:rsidRPr="002857DC">
        <w:rPr>
          <w:rFonts w:ascii="Arial" w:hAnsi="Arial" w:cs="Arial"/>
          <w:b/>
          <w:i/>
          <w:sz w:val="20"/>
          <w:szCs w:val="20"/>
        </w:rPr>
        <w:t>Initials as used in minutes</w:t>
      </w:r>
    </w:p>
    <w:p w:rsidR="002E3DD1" w:rsidRPr="002857DC" w:rsidRDefault="002E3DD1" w:rsidP="0002305F">
      <w:pPr>
        <w:tabs>
          <w:tab w:val="left" w:pos="7020"/>
        </w:tabs>
        <w:rPr>
          <w:rFonts w:ascii="Arial" w:hAnsi="Arial" w:cs="Arial"/>
          <w:b/>
          <w:i/>
          <w:sz w:val="20"/>
          <w:szCs w:val="20"/>
        </w:rPr>
      </w:pPr>
    </w:p>
    <w:p w:rsidR="002E3DD1" w:rsidRDefault="002E3DD1" w:rsidP="00DA7B0E">
      <w:pPr>
        <w:tabs>
          <w:tab w:val="left" w:pos="1440"/>
          <w:tab w:val="left" w:pos="2340"/>
        </w:tabs>
        <w:rPr>
          <w:rFonts w:ascii="Arial" w:hAnsi="Arial" w:cs="Arial"/>
        </w:rPr>
      </w:pPr>
      <w:r>
        <w:rPr>
          <w:rFonts w:ascii="Arial" w:hAnsi="Arial" w:cs="Arial"/>
        </w:rPr>
        <w:t xml:space="preserve">Edward Down, </w:t>
      </w:r>
      <w:smartTag w:uri="urn:schemas-microsoft-com:office:smarttags" w:element="address">
        <w:smartTag w:uri="urn:schemas-microsoft-com:office:smarttags" w:element="Street">
          <w:r>
            <w:rPr>
              <w:rFonts w:ascii="Arial" w:hAnsi="Arial" w:cs="Arial"/>
            </w:rPr>
            <w:t>Thorn Court</w:t>
          </w:r>
        </w:smartTag>
      </w:smartTag>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Vice Chair – ED</w:t>
      </w:r>
      <w:r>
        <w:rPr>
          <w:rFonts w:ascii="Arial" w:hAnsi="Arial" w:cs="Arial"/>
        </w:rPr>
        <w:tab/>
      </w:r>
    </w:p>
    <w:p w:rsidR="002E3DD1" w:rsidRDefault="002E3DD1" w:rsidP="0002305F">
      <w:pPr>
        <w:tabs>
          <w:tab w:val="left" w:pos="2340"/>
        </w:tabs>
        <w:rPr>
          <w:rFonts w:ascii="Arial" w:hAnsi="Arial" w:cs="Arial"/>
        </w:rPr>
      </w:pPr>
      <w:smartTag w:uri="urn:schemas-microsoft-com:office:smarttags" w:element="PersonName">
        <w:r>
          <w:rPr>
            <w:rFonts w:ascii="Arial" w:hAnsi="Arial" w:cs="Arial"/>
          </w:rPr>
          <w:t>Monica Wilson</w:t>
        </w:r>
      </w:smartTag>
      <w:r>
        <w:rPr>
          <w:rFonts w:ascii="Arial" w:hAnsi="Arial" w:cs="Arial"/>
        </w:rPr>
        <w:t xml:space="preserve">, </w:t>
      </w:r>
      <w:smartTag w:uri="urn:schemas-microsoft-com:office:smarttags" w:element="Street">
        <w:smartTag w:uri="urn:schemas-microsoft-com:office:smarttags" w:element="address">
          <w:r>
            <w:rPr>
              <w:rFonts w:ascii="Arial" w:hAnsi="Arial" w:cs="Arial"/>
            </w:rPr>
            <w:t>Beech Court</w:t>
          </w:r>
        </w:smartTag>
      </w:smartTag>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Secretary – MW</w:t>
      </w:r>
    </w:p>
    <w:p w:rsidR="002E3DD1" w:rsidRDefault="002E3DD1" w:rsidP="003C41DC">
      <w:pPr>
        <w:tabs>
          <w:tab w:val="left" w:pos="1440"/>
          <w:tab w:val="left" w:pos="2340"/>
        </w:tabs>
        <w:rPr>
          <w:rFonts w:ascii="Arial" w:hAnsi="Arial" w:cs="Arial"/>
        </w:rPr>
      </w:pPr>
      <w:r>
        <w:rPr>
          <w:rFonts w:ascii="Arial" w:hAnsi="Arial" w:cs="Arial"/>
        </w:rPr>
        <w:t xml:space="preserve">Ken Derbyshire, </w:t>
      </w:r>
      <w:smartTag w:uri="urn:schemas-microsoft-com:office:smarttags" w:element="address">
        <w:smartTag w:uri="urn:schemas-microsoft-com:office:smarttags" w:element="Street">
          <w:r>
            <w:rPr>
              <w:rFonts w:ascii="Arial" w:hAnsi="Arial" w:cs="Arial"/>
            </w:rPr>
            <w:t>Salix Court</w:t>
          </w:r>
        </w:smartTag>
      </w:smartTag>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Treasurer – KD</w:t>
      </w:r>
    </w:p>
    <w:p w:rsidR="002E3DD1" w:rsidRDefault="002E3DD1" w:rsidP="003C41DC">
      <w:pPr>
        <w:tabs>
          <w:tab w:val="left" w:pos="1440"/>
          <w:tab w:val="left" w:pos="2340"/>
        </w:tabs>
        <w:rPr>
          <w:rFonts w:ascii="Arial" w:hAnsi="Arial" w:cs="Arial"/>
        </w:rPr>
      </w:pPr>
      <w:r>
        <w:rPr>
          <w:rFonts w:ascii="Arial" w:hAnsi="Arial" w:cs="Arial"/>
        </w:rPr>
        <w:t>Councillor Lynn Drake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LD</w:t>
      </w:r>
    </w:p>
    <w:p w:rsidR="002E3DD1" w:rsidRDefault="002E3DD1" w:rsidP="00DA7B0E">
      <w:pPr>
        <w:tabs>
          <w:tab w:val="left" w:pos="0"/>
          <w:tab w:val="left" w:pos="1080"/>
          <w:tab w:val="left" w:pos="1440"/>
          <w:tab w:val="left" w:pos="2340"/>
          <w:tab w:val="left" w:pos="3600"/>
          <w:tab w:val="left" w:pos="7200"/>
        </w:tabs>
        <w:rPr>
          <w:rFonts w:ascii="Arial" w:hAnsi="Arial" w:cs="Arial"/>
        </w:rPr>
      </w:pPr>
      <w:r>
        <w:rPr>
          <w:rFonts w:ascii="Arial" w:hAnsi="Arial" w:cs="Arial"/>
        </w:rPr>
        <w:t xml:space="preserve">Derek Wunderley, Neighbourhood Champion  </w:t>
      </w:r>
      <w:r>
        <w:rPr>
          <w:rFonts w:ascii="Arial" w:hAnsi="Arial" w:cs="Arial"/>
        </w:rPr>
        <w:tab/>
        <w:t>DW</w:t>
      </w:r>
      <w:r>
        <w:rPr>
          <w:rFonts w:ascii="Arial" w:hAnsi="Arial" w:cs="Arial"/>
        </w:rPr>
        <w:tab/>
      </w:r>
    </w:p>
    <w:p w:rsidR="002E3DD1" w:rsidRDefault="002E3DD1" w:rsidP="0002305F">
      <w:pPr>
        <w:tabs>
          <w:tab w:val="left" w:pos="2340"/>
        </w:tabs>
        <w:rPr>
          <w:rFonts w:ascii="Arial" w:hAnsi="Arial" w:cs="Arial"/>
        </w:rPr>
      </w:pPr>
      <w:r>
        <w:rPr>
          <w:rFonts w:ascii="Arial" w:hAnsi="Arial" w:cs="Arial"/>
        </w:rPr>
        <w:t xml:space="preserve">Alan Ward, </w:t>
      </w:r>
      <w:smartTag w:uri="urn:schemas-microsoft-com:office:smarttags" w:element="address">
        <w:smartTag w:uri="urn:schemas-microsoft-com:office:smarttags" w:element="Street">
          <w:r>
            <w:rPr>
              <w:rFonts w:ascii="Arial" w:hAnsi="Arial" w:cs="Arial"/>
            </w:rPr>
            <w:t>Pear Tree Court</w:t>
          </w:r>
        </w:smartTag>
      </w:smartTag>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w:t>
      </w:r>
    </w:p>
    <w:p w:rsidR="002E3DD1" w:rsidRDefault="002E3DD1" w:rsidP="0002305F">
      <w:pPr>
        <w:tabs>
          <w:tab w:val="left" w:pos="1440"/>
          <w:tab w:val="left" w:pos="2340"/>
        </w:tabs>
        <w:rPr>
          <w:rFonts w:ascii="Arial" w:hAnsi="Arial" w:cs="Arial"/>
        </w:rPr>
      </w:pPr>
      <w:r>
        <w:rPr>
          <w:rFonts w:ascii="Arial" w:hAnsi="Arial" w:cs="Arial"/>
        </w:rPr>
        <w:t xml:space="preserve">Royce Gambles, </w:t>
      </w:r>
      <w:smartTag w:uri="urn:schemas-microsoft-com:office:smarttags" w:element="address">
        <w:smartTag w:uri="urn:schemas-microsoft-com:office:smarttags" w:element="Street">
          <w:r>
            <w:rPr>
              <w:rFonts w:ascii="Arial" w:hAnsi="Arial" w:cs="Arial"/>
            </w:rPr>
            <w:t>Pear Tree Court</w:t>
          </w:r>
        </w:smartTag>
      </w:smartTag>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RG</w:t>
      </w:r>
    </w:p>
    <w:p w:rsidR="002E3DD1" w:rsidRDefault="002E3DD1" w:rsidP="0002305F">
      <w:pPr>
        <w:tabs>
          <w:tab w:val="left" w:pos="0"/>
          <w:tab w:val="left" w:pos="1080"/>
          <w:tab w:val="left" w:pos="1440"/>
          <w:tab w:val="left" w:pos="2340"/>
          <w:tab w:val="left" w:pos="3600"/>
          <w:tab w:val="left" w:pos="7200"/>
        </w:tabs>
        <w:rPr>
          <w:rFonts w:ascii="Arial" w:hAnsi="Arial" w:cs="Arial"/>
        </w:rPr>
      </w:pPr>
      <w:r>
        <w:rPr>
          <w:rFonts w:ascii="Arial" w:hAnsi="Arial" w:cs="Arial"/>
        </w:rPr>
        <w:t>Stuart Antrobus, Windsor Albion</w:t>
      </w:r>
      <w:r>
        <w:rPr>
          <w:rFonts w:ascii="Arial" w:hAnsi="Arial" w:cs="Arial"/>
        </w:rPr>
        <w:tab/>
      </w:r>
      <w:r>
        <w:rPr>
          <w:rFonts w:ascii="Arial" w:hAnsi="Arial" w:cs="Arial"/>
        </w:rPr>
        <w:tab/>
        <w:t>SA</w:t>
      </w:r>
    </w:p>
    <w:p w:rsidR="002E3DD1" w:rsidRDefault="002E3DD1" w:rsidP="0002305F">
      <w:pPr>
        <w:tabs>
          <w:tab w:val="left" w:pos="0"/>
          <w:tab w:val="left" w:pos="1080"/>
          <w:tab w:val="left" w:pos="1440"/>
          <w:tab w:val="left" w:pos="2340"/>
          <w:tab w:val="left" w:pos="3600"/>
          <w:tab w:val="left" w:pos="7200"/>
        </w:tabs>
        <w:rPr>
          <w:rFonts w:ascii="Arial" w:hAnsi="Arial" w:cs="Arial"/>
        </w:rPr>
      </w:pPr>
      <w:smartTag w:uri="urn:schemas-microsoft-com:office:smarttags" w:element="address">
        <w:smartTag w:uri="urn:schemas-microsoft-com:office:smarttags" w:element="Street">
          <w:r>
            <w:rPr>
              <w:rFonts w:ascii="Arial" w:hAnsi="Arial" w:cs="Arial"/>
            </w:rPr>
            <w:t>Sue Charker Holm Court</w:t>
          </w:r>
        </w:smartTag>
      </w:smartTag>
      <w:r>
        <w:rPr>
          <w:rFonts w:ascii="Arial" w:hAnsi="Arial" w:cs="Arial"/>
        </w:rPr>
        <w:tab/>
      </w:r>
      <w:r>
        <w:rPr>
          <w:rFonts w:ascii="Arial" w:hAnsi="Arial" w:cs="Arial"/>
        </w:rPr>
        <w:tab/>
        <w:t>SC</w:t>
      </w:r>
    </w:p>
    <w:p w:rsidR="002E3DD1" w:rsidRDefault="002E3DD1" w:rsidP="0002305F">
      <w:pPr>
        <w:tabs>
          <w:tab w:val="left" w:pos="0"/>
          <w:tab w:val="left" w:pos="1080"/>
          <w:tab w:val="left" w:pos="1440"/>
          <w:tab w:val="left" w:pos="2340"/>
          <w:tab w:val="left" w:pos="3600"/>
          <w:tab w:val="left" w:pos="7200"/>
        </w:tabs>
        <w:rPr>
          <w:rFonts w:ascii="Arial" w:hAnsi="Arial" w:cs="Arial"/>
        </w:rPr>
      </w:pPr>
      <w:r>
        <w:rPr>
          <w:rFonts w:ascii="Arial" w:hAnsi="Arial" w:cs="Arial"/>
        </w:rPr>
        <w:t xml:space="preserve">Margaret Collis, </w:t>
      </w:r>
      <w:smartTag w:uri="urn:schemas-microsoft-com:office:smarttags" w:element="address">
        <w:smartTag w:uri="urn:schemas-microsoft-com:office:smarttags" w:element="Street">
          <w:r>
            <w:rPr>
              <w:rFonts w:ascii="Arial" w:hAnsi="Arial" w:cs="Arial"/>
            </w:rPr>
            <w:t>Malus Court</w:t>
          </w:r>
        </w:smartTag>
      </w:smartTag>
      <w:r>
        <w:rPr>
          <w:rFonts w:ascii="Arial" w:hAnsi="Arial" w:cs="Arial"/>
        </w:rPr>
        <w:tab/>
      </w:r>
      <w:r>
        <w:rPr>
          <w:rFonts w:ascii="Arial" w:hAnsi="Arial" w:cs="Arial"/>
        </w:rPr>
        <w:tab/>
        <w:t>MC</w:t>
      </w:r>
    </w:p>
    <w:p w:rsidR="002E3DD1" w:rsidRDefault="002E3DD1" w:rsidP="0002305F">
      <w:pPr>
        <w:tabs>
          <w:tab w:val="left" w:pos="0"/>
          <w:tab w:val="left" w:pos="1080"/>
          <w:tab w:val="left" w:pos="1440"/>
          <w:tab w:val="left" w:pos="2340"/>
          <w:tab w:val="left" w:pos="3600"/>
          <w:tab w:val="left" w:pos="7200"/>
        </w:tabs>
        <w:rPr>
          <w:rFonts w:ascii="Arial" w:hAnsi="Arial" w:cs="Arial"/>
        </w:rPr>
      </w:pPr>
      <w:r>
        <w:rPr>
          <w:rFonts w:ascii="Arial" w:hAnsi="Arial" w:cs="Arial"/>
        </w:rPr>
        <w:t>Paul McNeily, Safer Team Champion</w:t>
      </w:r>
      <w:r>
        <w:rPr>
          <w:rFonts w:ascii="Arial" w:hAnsi="Arial" w:cs="Arial"/>
        </w:rPr>
        <w:tab/>
        <w:t>PMc</w:t>
      </w:r>
    </w:p>
    <w:p w:rsidR="002E3DD1" w:rsidRDefault="002E3DD1" w:rsidP="0002305F">
      <w:pPr>
        <w:tabs>
          <w:tab w:val="left" w:pos="0"/>
          <w:tab w:val="left" w:pos="1080"/>
          <w:tab w:val="left" w:pos="1440"/>
          <w:tab w:val="left" w:pos="2340"/>
          <w:tab w:val="left" w:pos="3600"/>
          <w:tab w:val="left" w:pos="7230"/>
        </w:tabs>
        <w:rPr>
          <w:rFonts w:ascii="Arial" w:hAnsi="Arial" w:cs="Arial"/>
        </w:rPr>
      </w:pPr>
      <w:r>
        <w:rPr>
          <w:rFonts w:ascii="Arial" w:hAnsi="Arial" w:cs="Arial"/>
        </w:rPr>
        <w:t>Chriss Whittle, Jackson Lloyd</w:t>
      </w:r>
      <w:r>
        <w:rPr>
          <w:rFonts w:ascii="Arial" w:hAnsi="Arial" w:cs="Arial"/>
        </w:rPr>
        <w:tab/>
      </w:r>
      <w:r>
        <w:rPr>
          <w:rFonts w:ascii="Arial" w:hAnsi="Arial" w:cs="Arial"/>
        </w:rPr>
        <w:tab/>
        <w:t>CW</w:t>
      </w:r>
    </w:p>
    <w:p w:rsidR="002E3DD1" w:rsidRDefault="002E3DD1" w:rsidP="0002305F">
      <w:pPr>
        <w:tabs>
          <w:tab w:val="left" w:pos="0"/>
          <w:tab w:val="left" w:pos="1080"/>
          <w:tab w:val="left" w:pos="1440"/>
          <w:tab w:val="left" w:pos="2340"/>
          <w:tab w:val="left" w:pos="3600"/>
          <w:tab w:val="left" w:pos="7230"/>
        </w:tabs>
        <w:rPr>
          <w:rFonts w:ascii="Arial" w:hAnsi="Arial" w:cs="Arial"/>
        </w:rPr>
      </w:pPr>
      <w:r>
        <w:rPr>
          <w:rFonts w:ascii="Arial" w:hAnsi="Arial" w:cs="Arial"/>
        </w:rPr>
        <w:t>Kathryn Shaw, Jackson Lloyd</w:t>
      </w:r>
      <w:r>
        <w:rPr>
          <w:rFonts w:ascii="Arial" w:hAnsi="Arial" w:cs="Arial"/>
        </w:rPr>
        <w:tab/>
      </w:r>
      <w:r>
        <w:rPr>
          <w:rFonts w:ascii="Arial" w:hAnsi="Arial" w:cs="Arial"/>
        </w:rPr>
        <w:tab/>
        <w:t>KS</w:t>
      </w:r>
    </w:p>
    <w:p w:rsidR="002E3DD1" w:rsidRDefault="002E3DD1" w:rsidP="0002305F">
      <w:pPr>
        <w:tabs>
          <w:tab w:val="left" w:pos="0"/>
          <w:tab w:val="left" w:pos="1080"/>
          <w:tab w:val="left" w:pos="1440"/>
          <w:tab w:val="left" w:pos="2340"/>
          <w:tab w:val="left" w:pos="3600"/>
          <w:tab w:val="left" w:pos="7230"/>
        </w:tabs>
        <w:rPr>
          <w:rFonts w:ascii="Arial" w:hAnsi="Arial" w:cs="Arial"/>
        </w:rPr>
      </w:pPr>
      <w:r>
        <w:rPr>
          <w:rFonts w:ascii="Arial" w:hAnsi="Arial" w:cs="Arial"/>
        </w:rPr>
        <w:t>Ruth Abour Rached, Health Improvement Team</w:t>
      </w:r>
      <w:r>
        <w:rPr>
          <w:rFonts w:ascii="Arial" w:hAnsi="Arial" w:cs="Arial"/>
        </w:rPr>
        <w:tab/>
        <w:t>RAR</w:t>
      </w:r>
    </w:p>
    <w:p w:rsidR="002E3DD1" w:rsidRDefault="002E3DD1" w:rsidP="0002305F">
      <w:pPr>
        <w:tabs>
          <w:tab w:val="left" w:pos="0"/>
          <w:tab w:val="left" w:pos="1080"/>
          <w:tab w:val="left" w:pos="1440"/>
          <w:tab w:val="left" w:pos="2340"/>
          <w:tab w:val="left" w:pos="3600"/>
          <w:tab w:val="left" w:pos="7230"/>
        </w:tabs>
        <w:rPr>
          <w:rFonts w:ascii="Arial" w:hAnsi="Arial" w:cs="Arial"/>
        </w:rPr>
      </w:pPr>
      <w:r>
        <w:rPr>
          <w:rFonts w:ascii="Arial" w:hAnsi="Arial" w:cs="Arial"/>
        </w:rPr>
        <w:t>Meral Mercan-Darby, SALT</w:t>
      </w:r>
      <w:r>
        <w:rPr>
          <w:rFonts w:ascii="Arial" w:hAnsi="Arial" w:cs="Arial"/>
        </w:rPr>
        <w:tab/>
      </w:r>
      <w:r>
        <w:rPr>
          <w:rFonts w:ascii="Arial" w:hAnsi="Arial" w:cs="Arial"/>
        </w:rPr>
        <w:tab/>
        <w:t>MMD</w:t>
      </w:r>
      <w:r>
        <w:rPr>
          <w:rFonts w:ascii="Arial" w:hAnsi="Arial" w:cs="Arial"/>
        </w:rPr>
        <w:tab/>
      </w:r>
      <w:r>
        <w:rPr>
          <w:rFonts w:ascii="Arial" w:hAnsi="Arial" w:cs="Arial"/>
        </w:rPr>
        <w:tab/>
      </w:r>
    </w:p>
    <w:p w:rsidR="002E3DD1" w:rsidRDefault="002E3DD1" w:rsidP="0002305F">
      <w:pPr>
        <w:tabs>
          <w:tab w:val="left" w:pos="0"/>
          <w:tab w:val="left" w:pos="1080"/>
          <w:tab w:val="left" w:pos="1440"/>
          <w:tab w:val="left" w:pos="2340"/>
          <w:tab w:val="left" w:pos="3600"/>
          <w:tab w:val="left" w:pos="723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E3DD1" w:rsidRDefault="002E3DD1" w:rsidP="0002305F">
      <w:pPr>
        <w:rPr>
          <w:rFonts w:ascii="Arial" w:hAnsi="Arial" w:cs="Arial"/>
        </w:rPr>
      </w:pPr>
    </w:p>
    <w:p w:rsidR="002E3DD1" w:rsidRDefault="002E3DD1" w:rsidP="001C75F2">
      <w:pPr>
        <w:tabs>
          <w:tab w:val="left" w:pos="0"/>
          <w:tab w:val="left" w:pos="1080"/>
          <w:tab w:val="left" w:pos="1440"/>
          <w:tab w:val="left" w:pos="2340"/>
          <w:tab w:val="left" w:pos="3600"/>
          <w:tab w:val="left" w:pos="7200"/>
        </w:tabs>
        <w:rPr>
          <w:rFonts w:ascii="Arial" w:hAnsi="Arial" w:cs="Arial"/>
          <w:b/>
        </w:rPr>
      </w:pPr>
      <w:r>
        <w:rPr>
          <w:rFonts w:ascii="Arial" w:hAnsi="Arial" w:cs="Arial"/>
          <w:b/>
        </w:rPr>
        <w:t xml:space="preserve">1. Welcome &amp; Introductions </w:t>
      </w:r>
    </w:p>
    <w:p w:rsidR="002E3DD1" w:rsidRDefault="002E3DD1" w:rsidP="0002305F">
      <w:pPr>
        <w:rPr>
          <w:rFonts w:ascii="Arial" w:hAnsi="Arial" w:cs="Arial"/>
        </w:rPr>
      </w:pPr>
    </w:p>
    <w:p w:rsidR="002E3DD1" w:rsidRDefault="002E3DD1" w:rsidP="0002305F">
      <w:pPr>
        <w:rPr>
          <w:rFonts w:ascii="Arial" w:hAnsi="Arial" w:cs="Arial"/>
        </w:rPr>
      </w:pPr>
      <w:r w:rsidRPr="00671C43">
        <w:rPr>
          <w:rFonts w:ascii="Arial" w:hAnsi="Arial" w:cs="Arial"/>
        </w:rPr>
        <w:pict>
          <v:rect id="_x0000_i1026" style="width:0;height:1.5pt" o:hralign="center" o:hrstd="t" o:hr="t" fillcolor="#9d9da1"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755"/>
        <w:gridCol w:w="1099"/>
      </w:tblGrid>
      <w:tr w:rsidR="002E3DD1" w:rsidTr="00884DFA">
        <w:tc>
          <w:tcPr>
            <w:tcW w:w="8755" w:type="dxa"/>
          </w:tcPr>
          <w:p w:rsidR="002E3DD1" w:rsidRDefault="002E3DD1" w:rsidP="00093B6D">
            <w:pPr>
              <w:ind w:left="360"/>
            </w:pPr>
            <w:r>
              <w:rPr>
                <w:b/>
              </w:rPr>
              <w:t xml:space="preserve">2.   </w:t>
            </w:r>
            <w:r>
              <w:rPr>
                <w:rFonts w:ascii="Arial" w:hAnsi="Arial" w:cs="Arial"/>
                <w:b/>
              </w:rPr>
              <w:t>Apologies</w:t>
            </w:r>
          </w:p>
          <w:p w:rsidR="002E3DD1" w:rsidRDefault="002E3DD1" w:rsidP="009935D2">
            <w:pPr>
              <w:tabs>
                <w:tab w:val="left" w:pos="720"/>
                <w:tab w:val="left" w:pos="1080"/>
                <w:tab w:val="left" w:pos="1440"/>
                <w:tab w:val="left" w:pos="2340"/>
                <w:tab w:val="left" w:pos="3600"/>
                <w:tab w:val="left" w:pos="7200"/>
              </w:tabs>
              <w:ind w:left="720"/>
              <w:rPr>
                <w:rFonts w:ascii="Arial" w:hAnsi="Arial" w:cs="Arial"/>
              </w:rPr>
            </w:pPr>
            <w:r>
              <w:rPr>
                <w:rFonts w:ascii="Arial" w:hAnsi="Arial" w:cs="Arial"/>
              </w:rPr>
              <w:t xml:space="preserve">Colin Marchbank Smith,  Chair - Salix Court.  </w:t>
            </w:r>
            <w:r w:rsidRPr="008F12C9">
              <w:rPr>
                <w:rFonts w:ascii="Arial" w:hAnsi="Arial" w:cs="Arial"/>
              </w:rPr>
              <w:t xml:space="preserve">Cllr Warmisham, </w:t>
            </w:r>
            <w:r>
              <w:rPr>
                <w:rFonts w:ascii="Arial" w:hAnsi="Arial" w:cs="Arial"/>
              </w:rPr>
              <w:t xml:space="preserve">Councillor Loveday, </w:t>
            </w:r>
            <w:r w:rsidRPr="00DA7B0E">
              <w:rPr>
                <w:rFonts w:ascii="Arial" w:hAnsi="Arial" w:cs="Arial"/>
              </w:rPr>
              <w:t>Warren Carlon</w:t>
            </w:r>
            <w:r>
              <w:rPr>
                <w:rFonts w:ascii="Arial" w:hAnsi="Arial" w:cs="Arial"/>
              </w:rPr>
              <w:t xml:space="preserve"> -</w:t>
            </w:r>
            <w:r>
              <w:rPr>
                <w:rFonts w:ascii="Arial" w:hAnsi="Arial" w:cs="Arial"/>
                <w:b/>
              </w:rPr>
              <w:t xml:space="preserve"> </w:t>
            </w:r>
            <w:r w:rsidRPr="00DA7B0E">
              <w:rPr>
                <w:rFonts w:ascii="Arial" w:hAnsi="Arial" w:cs="Arial"/>
              </w:rPr>
              <w:t>Salix</w:t>
            </w:r>
            <w:r>
              <w:rPr>
                <w:rFonts w:ascii="Arial" w:hAnsi="Arial" w:cs="Arial"/>
                <w:b/>
              </w:rPr>
              <w:t xml:space="preserve">. </w:t>
            </w:r>
            <w:r>
              <w:rPr>
                <w:rFonts w:ascii="Arial" w:hAnsi="Arial" w:cs="Arial"/>
              </w:rPr>
              <w:t xml:space="preserve">George Newton, </w:t>
            </w:r>
            <w:smartTag w:uri="urn:schemas-microsoft-com:office:smarttags" w:element="address">
              <w:smartTag w:uri="urn:schemas-microsoft-com:office:smarttags" w:element="Street">
                <w:r>
                  <w:rPr>
                    <w:rFonts w:ascii="Arial" w:hAnsi="Arial" w:cs="Arial"/>
                  </w:rPr>
                  <w:t>Holm Court</w:t>
                </w:r>
              </w:smartTag>
            </w:smartTag>
            <w:r>
              <w:rPr>
                <w:rFonts w:ascii="Arial" w:hAnsi="Arial" w:cs="Arial"/>
              </w:rPr>
              <w:t xml:space="preserve">. Joanne White, </w:t>
            </w:r>
            <w:smartTag w:uri="urn:schemas-microsoft-com:office:smarttags" w:element="address">
              <w:smartTag w:uri="urn:schemas-microsoft-com:office:smarttags" w:element="Street">
                <w:r>
                  <w:rPr>
                    <w:rFonts w:ascii="Arial" w:hAnsi="Arial" w:cs="Arial"/>
                  </w:rPr>
                  <w:t>Thorn Court</w:t>
                </w:r>
              </w:smartTag>
            </w:smartTag>
            <w:r>
              <w:rPr>
                <w:rFonts w:ascii="Arial" w:hAnsi="Arial" w:cs="Arial"/>
              </w:rPr>
              <w:t xml:space="preserve">. Tony Riley, Salix. Frank Swift - Jackson Lloyd. Jon Smith, </w:t>
            </w:r>
            <w:smartTag w:uri="urn:schemas-microsoft-com:office:smarttags" w:element="address">
              <w:smartTag w:uri="urn:schemas-microsoft-com:office:smarttags" w:element="Street">
                <w:r>
                  <w:rPr>
                    <w:rFonts w:ascii="Arial" w:hAnsi="Arial" w:cs="Arial"/>
                  </w:rPr>
                  <w:t>Thorn Court</w:t>
                </w:r>
              </w:smartTag>
            </w:smartTag>
            <w:r>
              <w:rPr>
                <w:rFonts w:ascii="Arial" w:hAnsi="Arial" w:cs="Arial"/>
              </w:rPr>
              <w:t xml:space="preserve">. Ross Spanner, SCC. Carol Nuttall, </w:t>
            </w:r>
            <w:smartTag w:uri="urn:schemas-microsoft-com:office:smarttags" w:element="address">
              <w:smartTag w:uri="urn:schemas-microsoft-com:office:smarttags" w:element="Street">
                <w:r>
                  <w:rPr>
                    <w:rFonts w:ascii="Arial" w:hAnsi="Arial" w:cs="Arial"/>
                  </w:rPr>
                  <w:t>Malus Court</w:t>
                </w:r>
              </w:smartTag>
            </w:smartTag>
            <w:r>
              <w:rPr>
                <w:rFonts w:ascii="Arial" w:hAnsi="Arial" w:cs="Arial"/>
              </w:rPr>
              <w:t>.</w:t>
            </w:r>
          </w:p>
          <w:p w:rsidR="002E3DD1" w:rsidRPr="001A2194" w:rsidRDefault="002E3DD1" w:rsidP="00400C57">
            <w:pPr>
              <w:ind w:left="720"/>
              <w:rPr>
                <w:b/>
              </w:rPr>
            </w:pPr>
          </w:p>
        </w:tc>
        <w:tc>
          <w:tcPr>
            <w:tcW w:w="1099" w:type="dxa"/>
          </w:tcPr>
          <w:p w:rsidR="002E3DD1" w:rsidRPr="006A13EB" w:rsidRDefault="002E3DD1" w:rsidP="00457D99">
            <w:pPr>
              <w:jc w:val="center"/>
              <w:rPr>
                <w:b/>
              </w:rPr>
            </w:pPr>
          </w:p>
        </w:tc>
      </w:tr>
      <w:tr w:rsidR="002E3DD1" w:rsidTr="00884DFA">
        <w:tc>
          <w:tcPr>
            <w:tcW w:w="8755" w:type="dxa"/>
          </w:tcPr>
          <w:p w:rsidR="002E3DD1" w:rsidRPr="009935D2" w:rsidRDefault="002E3DD1" w:rsidP="00400C57">
            <w:pPr>
              <w:ind w:left="360"/>
              <w:rPr>
                <w:rFonts w:ascii="Arial" w:hAnsi="Arial" w:cs="Arial"/>
                <w:b/>
              </w:rPr>
            </w:pPr>
            <w:r>
              <w:rPr>
                <w:b/>
              </w:rPr>
              <w:t xml:space="preserve">3.   </w:t>
            </w:r>
            <w:r w:rsidRPr="009935D2">
              <w:rPr>
                <w:rFonts w:ascii="Arial" w:hAnsi="Arial" w:cs="Arial"/>
                <w:b/>
              </w:rPr>
              <w:t>Minutes</w:t>
            </w:r>
          </w:p>
          <w:p w:rsidR="002E3DD1" w:rsidRDefault="002E3DD1" w:rsidP="007152A5">
            <w:pPr>
              <w:pStyle w:val="ListParagraph"/>
              <w:numPr>
                <w:ilvl w:val="0"/>
                <w:numId w:val="2"/>
              </w:numPr>
            </w:pPr>
            <w:r>
              <w:t>Agreed as an accurate record and ED (Vice Chair) signed the minutes. Some minor changes agreed by Panel and Chair.</w:t>
            </w:r>
          </w:p>
        </w:tc>
        <w:tc>
          <w:tcPr>
            <w:tcW w:w="1099" w:type="dxa"/>
          </w:tcPr>
          <w:p w:rsidR="002E3DD1" w:rsidRDefault="002E3DD1" w:rsidP="00457D99">
            <w:pPr>
              <w:jc w:val="center"/>
              <w:rPr>
                <w:b/>
              </w:rPr>
            </w:pPr>
            <w:r w:rsidRPr="006A13EB">
              <w:rPr>
                <w:b/>
              </w:rPr>
              <w:t>Action</w:t>
            </w:r>
          </w:p>
          <w:p w:rsidR="002E3DD1" w:rsidRPr="006A13EB" w:rsidRDefault="002E3DD1" w:rsidP="00457D99">
            <w:pPr>
              <w:jc w:val="center"/>
              <w:rPr>
                <w:b/>
              </w:rPr>
            </w:pPr>
            <w:r>
              <w:rPr>
                <w:b/>
              </w:rPr>
              <w:t>DW</w:t>
            </w:r>
          </w:p>
        </w:tc>
      </w:tr>
      <w:tr w:rsidR="002E3DD1" w:rsidTr="00884DFA">
        <w:tc>
          <w:tcPr>
            <w:tcW w:w="8755" w:type="dxa"/>
          </w:tcPr>
          <w:p w:rsidR="002E3DD1" w:rsidRPr="001A2194" w:rsidRDefault="002E3DD1" w:rsidP="00F35187">
            <w:pPr>
              <w:ind w:left="360"/>
              <w:rPr>
                <w:b/>
              </w:rPr>
            </w:pPr>
            <w:r>
              <w:rPr>
                <w:b/>
              </w:rPr>
              <w:t xml:space="preserve">4.   </w:t>
            </w:r>
            <w:r w:rsidRPr="001A2194">
              <w:rPr>
                <w:b/>
              </w:rPr>
              <w:t>Matters Arising</w:t>
            </w:r>
          </w:p>
          <w:p w:rsidR="002E3DD1" w:rsidRDefault="002E3DD1" w:rsidP="007B6955">
            <w:pPr>
              <w:pStyle w:val="ListParagraph"/>
            </w:pPr>
            <w:r>
              <w:t>a. Neighbourhood report (previous minutes) Whitebeam Court Cleaner Greener Bid was taken off of the list for the CG SSP to hear as it had been put in recently and there had been little time to draw up, Tracey Weir (Chair of CG SSP) had agreed and this will be worked up at a later date.</w:t>
            </w:r>
          </w:p>
        </w:tc>
        <w:tc>
          <w:tcPr>
            <w:tcW w:w="1099" w:type="dxa"/>
          </w:tcPr>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r>
              <w:t>DW</w:t>
            </w:r>
          </w:p>
          <w:p w:rsidR="002E3DD1" w:rsidRDefault="002E3DD1" w:rsidP="007B6955">
            <w:pPr>
              <w:jc w:val="center"/>
            </w:pPr>
          </w:p>
        </w:tc>
      </w:tr>
      <w:tr w:rsidR="002E3DD1" w:rsidTr="00884DFA">
        <w:tc>
          <w:tcPr>
            <w:tcW w:w="8755" w:type="dxa"/>
          </w:tcPr>
          <w:p w:rsidR="002E3DD1" w:rsidRDefault="002E3DD1" w:rsidP="00AB6733">
            <w:pPr>
              <w:numPr>
                <w:ilvl w:val="0"/>
                <w:numId w:val="14"/>
              </w:numPr>
              <w:rPr>
                <w:b/>
              </w:rPr>
            </w:pPr>
            <w:r w:rsidRPr="001A2194">
              <w:rPr>
                <w:b/>
              </w:rPr>
              <w:t>Chairs Report</w:t>
            </w:r>
          </w:p>
          <w:p w:rsidR="002E3DD1" w:rsidRDefault="002E3DD1" w:rsidP="002550C3">
            <w:pPr>
              <w:pStyle w:val="ListParagraph"/>
              <w:numPr>
                <w:ilvl w:val="1"/>
                <w:numId w:val="14"/>
              </w:numPr>
            </w:pPr>
            <w:r w:rsidRPr="00AB6733">
              <w:t xml:space="preserve">The </w:t>
            </w:r>
            <w:r>
              <w:t>Vice Chair informed Panel members there would be no report at this meeting.</w:t>
            </w:r>
          </w:p>
          <w:p w:rsidR="002E3DD1" w:rsidRDefault="002E3DD1" w:rsidP="0003360F">
            <w:pPr>
              <w:pStyle w:val="ListParagraph"/>
              <w:ind w:left="1080" w:hanging="360"/>
            </w:pPr>
          </w:p>
          <w:p w:rsidR="002E3DD1" w:rsidRPr="001A2194" w:rsidRDefault="002E3DD1" w:rsidP="0003360F">
            <w:pPr>
              <w:pStyle w:val="ListParagraph"/>
              <w:ind w:left="1080" w:hanging="360"/>
            </w:pPr>
          </w:p>
        </w:tc>
        <w:tc>
          <w:tcPr>
            <w:tcW w:w="1099" w:type="dxa"/>
          </w:tcPr>
          <w:p w:rsidR="002E3DD1" w:rsidRDefault="002E3DD1" w:rsidP="00457D99">
            <w:pPr>
              <w:jc w:val="center"/>
            </w:pPr>
          </w:p>
          <w:p w:rsidR="002E3DD1" w:rsidRDefault="002E3DD1" w:rsidP="00457D99">
            <w:pPr>
              <w:jc w:val="center"/>
            </w:pPr>
          </w:p>
          <w:p w:rsidR="002E3DD1" w:rsidRDefault="002E3DD1" w:rsidP="00457D99">
            <w:pPr>
              <w:jc w:val="center"/>
            </w:pPr>
            <w:r>
              <w:t>ED</w:t>
            </w:r>
          </w:p>
          <w:p w:rsidR="002E3DD1" w:rsidRDefault="002E3DD1" w:rsidP="00457D99">
            <w:pPr>
              <w:jc w:val="center"/>
            </w:pPr>
          </w:p>
        </w:tc>
      </w:tr>
      <w:tr w:rsidR="002E3DD1" w:rsidTr="00884DFA">
        <w:tc>
          <w:tcPr>
            <w:tcW w:w="8755" w:type="dxa"/>
          </w:tcPr>
          <w:p w:rsidR="002E3DD1" w:rsidRPr="00930F3F" w:rsidRDefault="002E3DD1" w:rsidP="003F4423">
            <w:pPr>
              <w:ind w:left="360"/>
              <w:rPr>
                <w:b/>
              </w:rPr>
            </w:pPr>
            <w:r>
              <w:rPr>
                <w:b/>
              </w:rPr>
              <w:t xml:space="preserve">6.  </w:t>
            </w:r>
            <w:r w:rsidRPr="00930F3F">
              <w:rPr>
                <w:b/>
              </w:rPr>
              <w:t>Jackson Lloyd Report</w:t>
            </w:r>
          </w:p>
          <w:p w:rsidR="002E3DD1" w:rsidRDefault="002E3DD1" w:rsidP="00930F3F">
            <w:pPr>
              <w:pStyle w:val="ListParagraph"/>
              <w:numPr>
                <w:ilvl w:val="0"/>
                <w:numId w:val="8"/>
              </w:numPr>
            </w:pPr>
            <w:r>
              <w:t xml:space="preserve">Chriss Whittle informed the Panel that Jackson Lloyd had now been taken over by the Mears Group. Mears Group had 55 branches across the </w:t>
            </w:r>
            <w:smartTag w:uri="urn:schemas-microsoft-com:office:smarttags" w:element="country-region">
              <w:smartTag w:uri="urn:schemas-microsoft-com:office:smarttags" w:element="place">
                <w:r>
                  <w:t>UK</w:t>
                </w:r>
              </w:smartTag>
            </w:smartTag>
            <w:r>
              <w:t xml:space="preserve"> and over 2000 employees.</w:t>
            </w:r>
          </w:p>
          <w:p w:rsidR="002E3DD1" w:rsidRDefault="002E3DD1" w:rsidP="00385AAC">
            <w:pPr>
              <w:pStyle w:val="ListParagraph"/>
              <w:numPr>
                <w:ilvl w:val="0"/>
                <w:numId w:val="8"/>
              </w:numPr>
            </w:pPr>
            <w:r>
              <w:t>CW also indicated that Frank Swift was still in position. Toolbox talks had been completed with workers after this take over and commenced on the 01.10.10. CW awaiting confirmation from Mears Group that these toolbox talks would be held for the Panel.</w:t>
            </w:r>
          </w:p>
          <w:p w:rsidR="002E3DD1" w:rsidRDefault="002E3DD1" w:rsidP="00930F3F">
            <w:pPr>
              <w:pStyle w:val="ListParagraph"/>
              <w:numPr>
                <w:ilvl w:val="0"/>
                <w:numId w:val="8"/>
              </w:numPr>
            </w:pPr>
            <w:r>
              <w:t xml:space="preserve">CW also informed the group that they were committed to continue to help with some proposed work at </w:t>
            </w:r>
            <w:smartTag w:uri="urn:schemas-microsoft-com:office:smarttags" w:element="address">
              <w:smartTag w:uri="urn:schemas-microsoft-com:office:smarttags" w:element="Street">
                <w:r>
                  <w:t>Magnolia Court</w:t>
                </w:r>
              </w:smartTag>
            </w:smartTag>
            <w:r>
              <w:t xml:space="preserve"> through advice, design and possible labour. MW asked if we would be looking at all community rooms. DW indicated that he was looking at all rooms and would prioritise in line with what was required.</w:t>
            </w:r>
          </w:p>
          <w:p w:rsidR="002E3DD1" w:rsidRDefault="002E3DD1" w:rsidP="00930F3F">
            <w:pPr>
              <w:pStyle w:val="ListParagraph"/>
              <w:numPr>
                <w:ilvl w:val="0"/>
                <w:numId w:val="8"/>
              </w:numPr>
            </w:pPr>
            <w:r>
              <w:t xml:space="preserve">CW then informed the Panel that The Mears Group were committed to Community responsibility work and asked that if there were any ideas or enquiries please contact her or raise at the Panel  </w:t>
            </w:r>
          </w:p>
          <w:p w:rsidR="002E3DD1" w:rsidRDefault="002E3DD1" w:rsidP="0028557E">
            <w:pPr>
              <w:pStyle w:val="ListParagraph"/>
              <w:numPr>
                <w:ilvl w:val="0"/>
                <w:numId w:val="8"/>
              </w:numPr>
            </w:pPr>
            <w:r>
              <w:t xml:space="preserve">ED enquired about using furniture that was left by residents to help or offer to new residents who may not have much at the start of the tenancy. ED also said that as Jackson Lloyd are responsible for “clear outs” could Salix Homes work with the contractors to look at storage or offer this other agencies to store this furniture. (Good As New – </w:t>
            </w:r>
            <w:smartTag w:uri="urn:schemas-microsoft-com:office:smarttags" w:element="address">
              <w:smartTag w:uri="urn:schemas-microsoft-com:office:smarttags" w:element="Street">
                <w:r>
                  <w:t>Oldfield Road</w:t>
                </w:r>
              </w:smartTag>
            </w:smartTag>
            <w:r>
              <w:t>, Emmaus, Community Transport) DW to look at options for exploring the use of this furniture etc for new residents. CW informed the Panel that storage is the issue for JL who have responsibility for clearing empty properties. ED thanked CW for attendance.</w:t>
            </w:r>
          </w:p>
        </w:tc>
        <w:tc>
          <w:tcPr>
            <w:tcW w:w="1099" w:type="dxa"/>
          </w:tcPr>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r>
              <w:t>CW</w:t>
            </w: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r>
              <w:t>DW</w:t>
            </w:r>
          </w:p>
          <w:p w:rsidR="002E3DD1" w:rsidRDefault="002E3DD1" w:rsidP="00457D99">
            <w:pPr>
              <w:jc w:val="center"/>
            </w:pPr>
          </w:p>
          <w:p w:rsidR="002E3DD1" w:rsidRDefault="002E3DD1" w:rsidP="00457D99">
            <w:pPr>
              <w:jc w:val="center"/>
            </w:pPr>
          </w:p>
          <w:p w:rsidR="002E3DD1" w:rsidRDefault="002E3DD1" w:rsidP="00457D99">
            <w:pPr>
              <w:jc w:val="center"/>
            </w:pPr>
            <w:r>
              <w:t>CW</w:t>
            </w: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r>
              <w:t>DW</w:t>
            </w:r>
          </w:p>
        </w:tc>
      </w:tr>
      <w:tr w:rsidR="002E3DD1" w:rsidTr="00884DFA">
        <w:tc>
          <w:tcPr>
            <w:tcW w:w="8755" w:type="dxa"/>
          </w:tcPr>
          <w:p w:rsidR="002E3DD1" w:rsidRPr="00930F3F" w:rsidRDefault="002E3DD1" w:rsidP="003F4423">
            <w:pPr>
              <w:ind w:left="360"/>
              <w:rPr>
                <w:b/>
              </w:rPr>
            </w:pPr>
            <w:r>
              <w:rPr>
                <w:b/>
              </w:rPr>
              <w:t xml:space="preserve">7.  </w:t>
            </w:r>
            <w:r w:rsidRPr="00930F3F">
              <w:rPr>
                <w:b/>
              </w:rPr>
              <w:t>Cleaner Greener Neighbourhoods</w:t>
            </w:r>
            <w:r>
              <w:rPr>
                <w:b/>
              </w:rPr>
              <w:t xml:space="preserve"> Report</w:t>
            </w:r>
          </w:p>
          <w:p w:rsidR="002E3DD1" w:rsidRDefault="002E3DD1" w:rsidP="009B5055">
            <w:pPr>
              <w:pStyle w:val="ListParagraph"/>
              <w:numPr>
                <w:ilvl w:val="0"/>
                <w:numId w:val="10"/>
              </w:numPr>
            </w:pPr>
            <w:r>
              <w:t>Paul McNeily gave an update on the Better Neighbourhoods restructure including Cleaner Greener and Safer teams. PMc informed the Panel that Salix Homes were committed to improving front line customer services and that the restructure has in the main concentrated on this aspect and that by reducing the neighbourhoods from 7 to 5 these will now align themselves with the Neighbourhood Management Structures to improve and continue the great collaborative working already in place.</w:t>
            </w:r>
          </w:p>
          <w:p w:rsidR="002E3DD1" w:rsidRDefault="002E3DD1" w:rsidP="009B5055">
            <w:pPr>
              <w:pStyle w:val="ListParagraph"/>
              <w:numPr>
                <w:ilvl w:val="0"/>
                <w:numId w:val="10"/>
              </w:numPr>
            </w:pPr>
            <w:r>
              <w:t>PMc also indicated that the restructure had to taken into account the reduction in funding from HMR/NDC and the business planning for PFI.</w:t>
            </w:r>
          </w:p>
          <w:p w:rsidR="002E3DD1" w:rsidRDefault="002E3DD1" w:rsidP="009B5055">
            <w:pPr>
              <w:pStyle w:val="ListParagraph"/>
              <w:numPr>
                <w:ilvl w:val="0"/>
                <w:numId w:val="10"/>
              </w:numPr>
            </w:pPr>
            <w:r>
              <w:t xml:space="preserve">PMc informed the Panel that the officers from the dedicated functions will now be in formal teams and led by a Neighbourhood Team Leader. DW to update Panel at the next meeting on progress. </w:t>
            </w:r>
          </w:p>
        </w:tc>
        <w:tc>
          <w:tcPr>
            <w:tcW w:w="1099" w:type="dxa"/>
          </w:tcPr>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274950">
            <w:pPr>
              <w:jc w:val="center"/>
            </w:pPr>
            <w:r>
              <w:t>DW</w:t>
            </w:r>
          </w:p>
        </w:tc>
      </w:tr>
      <w:tr w:rsidR="002E3DD1" w:rsidTr="00884DFA">
        <w:tc>
          <w:tcPr>
            <w:tcW w:w="8755" w:type="dxa"/>
          </w:tcPr>
          <w:p w:rsidR="002E3DD1" w:rsidRDefault="002E3DD1" w:rsidP="00C57F46">
            <w:pPr>
              <w:ind w:left="360"/>
              <w:rPr>
                <w:b/>
              </w:rPr>
            </w:pPr>
            <w:r>
              <w:rPr>
                <w:b/>
              </w:rPr>
              <w:t xml:space="preserve">8.  </w:t>
            </w:r>
            <w:r w:rsidRPr="00847999">
              <w:rPr>
                <w:b/>
              </w:rPr>
              <w:t>Safer Neighbourhoods Report</w:t>
            </w:r>
          </w:p>
          <w:p w:rsidR="002E3DD1" w:rsidRDefault="002E3DD1" w:rsidP="007930B8">
            <w:pPr>
              <w:pStyle w:val="ListParagraph"/>
              <w:numPr>
                <w:ilvl w:val="0"/>
                <w:numId w:val="11"/>
              </w:numPr>
            </w:pPr>
            <w:r>
              <w:t xml:space="preserve">PMc informed the Panel that Salix were looking at introducing Acceptable Behaviour Agreements (ABA) to address tenants, dependants and other resident’s behaviour. Salix were looking at this where it would be more appropriate than formal action and where it could be used to try and address youth nuisance to prevent them unnecessarily entering the criminal justice system in the first instance. This is another area where SCC and Salix Homes is at the forefront of pioneering this type of prevention. </w:t>
            </w:r>
          </w:p>
          <w:p w:rsidR="002E3DD1" w:rsidRDefault="002E3DD1" w:rsidP="007930B8">
            <w:pPr>
              <w:pStyle w:val="ListParagraph"/>
              <w:numPr>
                <w:ilvl w:val="0"/>
                <w:numId w:val="11"/>
              </w:numPr>
            </w:pPr>
            <w:r>
              <w:t xml:space="preserve">PMc also said that in terms of youth nuisance offenders a “youth offending panel” would be set up and that they would be asked to agree to the </w:t>
            </w:r>
            <w:smartTag w:uri="urn:schemas-microsoft-com:office:smarttags" w:element="City">
              <w:smartTag w:uri="urn:schemas-microsoft-com:office:smarttags" w:element="place">
                <w:r>
                  <w:t>ABA</w:t>
                </w:r>
              </w:smartTag>
            </w:smartTag>
            <w:r>
              <w:t xml:space="preserve">. If this was found not to have worked after 6months the offender would be asked to go before the above panel. This would be done in conjunction with other initiatives such as working with parents, voluntary work and other ways such as sport. Members of the public would be involved and could attend case conferences. An example by PMc was of some parents initially in denial over the children’s behaviour until shown evidence but has since signed up to the </w:t>
            </w:r>
            <w:smartTag w:uri="urn:schemas-microsoft-com:office:smarttags" w:element="City">
              <w:smartTag w:uri="urn:schemas-microsoft-com:office:smarttags" w:element="place">
                <w:r>
                  <w:t>ABA</w:t>
                </w:r>
              </w:smartTag>
            </w:smartTag>
            <w:r>
              <w:t>.</w:t>
            </w:r>
          </w:p>
          <w:p w:rsidR="002E3DD1" w:rsidRDefault="002E3DD1" w:rsidP="00970F84">
            <w:pPr>
              <w:pStyle w:val="ListParagraph"/>
            </w:pPr>
          </w:p>
          <w:p w:rsidR="002E3DD1" w:rsidRDefault="002E3DD1" w:rsidP="00970F84">
            <w:pPr>
              <w:pStyle w:val="ListParagraph"/>
            </w:pPr>
          </w:p>
          <w:p w:rsidR="002E3DD1" w:rsidRDefault="002E3DD1" w:rsidP="007930B8">
            <w:pPr>
              <w:pStyle w:val="ListParagraph"/>
              <w:numPr>
                <w:ilvl w:val="0"/>
                <w:numId w:val="11"/>
              </w:numPr>
            </w:pPr>
            <w:r>
              <w:t>At present 2 cases were underway with 5 more in the pipeline. This work would be monitored by the Government and Home Office under their approval and SCC would look to see what the impact is over a period of time.</w:t>
            </w:r>
          </w:p>
          <w:p w:rsidR="002E3DD1" w:rsidRDefault="002E3DD1" w:rsidP="007930B8">
            <w:pPr>
              <w:pStyle w:val="ListParagraph"/>
              <w:numPr>
                <w:ilvl w:val="0"/>
                <w:numId w:val="11"/>
              </w:numPr>
            </w:pPr>
            <w:r>
              <w:t xml:space="preserve">RAR agreed it would be good to ensure all manner of diversionary work was looked at prior to any formal action if this was possible. PMc indicated that this was all tailored to try and ensure that people changed their behaviour and what was affecting other resident’s lives and health. PMc also said Salix was looking at working with Community Payback formally to ensure that “restorative justice” was seen to being done as this was one way of showing positive action to residents and the community. An example of this was where community payback was going to complete some painting of stairwells etc </w:t>
            </w:r>
          </w:p>
          <w:p w:rsidR="002E3DD1" w:rsidRDefault="002E3DD1" w:rsidP="007930B8">
            <w:pPr>
              <w:pStyle w:val="ListParagraph"/>
              <w:numPr>
                <w:ilvl w:val="0"/>
                <w:numId w:val="11"/>
              </w:numPr>
            </w:pPr>
            <w:r>
              <w:t>RAR also spoke about other issues facing parents such as depression, debt, alcohol and drugs and that if we could identify these issues other agencies could be called in. All agreed with this approach. RAR mentioned “Social prescribing” where a GP can recognise issues affecting parents and residents, PMc to contact RAR in relation to this.</w:t>
            </w:r>
          </w:p>
          <w:p w:rsidR="002E3DD1" w:rsidRDefault="002E3DD1" w:rsidP="007930B8">
            <w:pPr>
              <w:pStyle w:val="ListParagraph"/>
              <w:numPr>
                <w:ilvl w:val="0"/>
                <w:numId w:val="11"/>
              </w:numPr>
            </w:pPr>
            <w:r>
              <w:t xml:space="preserve">RAR also spoke about rent capping issues and the affect this could have with tenants. The Chair indicated that rent capping issues outside the capital are misleading and “muddied the waters”. The Chair also wanted to point out that all this work was done to try to prevent eviction which is the final deterrent and would like updating on the progress of ABA’s. PMc  </w:t>
            </w:r>
          </w:p>
          <w:p w:rsidR="002E3DD1" w:rsidRDefault="002E3DD1" w:rsidP="007930B8">
            <w:pPr>
              <w:pStyle w:val="ListParagraph"/>
              <w:numPr>
                <w:ilvl w:val="0"/>
                <w:numId w:val="11"/>
              </w:numPr>
            </w:pPr>
            <w:r>
              <w:t>1</w:t>
            </w:r>
            <w:r w:rsidRPr="00CE0AC1">
              <w:rPr>
                <w:vertAlign w:val="superscript"/>
              </w:rPr>
              <w:t>st</w:t>
            </w:r>
            <w:r>
              <w:t xml:space="preserve"> Response: have been nominated for a national award with the Social Landlord and Nuisance group which represents landlords and shares good practice, 1 of 3 shortlisted and should hear in November.   </w:t>
            </w:r>
          </w:p>
          <w:p w:rsidR="002E3DD1" w:rsidRPr="00847999" w:rsidRDefault="002E3DD1" w:rsidP="007930B8">
            <w:pPr>
              <w:pStyle w:val="ListParagraph"/>
              <w:numPr>
                <w:ilvl w:val="0"/>
                <w:numId w:val="11"/>
              </w:numPr>
            </w:pPr>
            <w:r>
              <w:t xml:space="preserve">ED informed the Panel that at the New Weaste allotments the Youth Offending Team has access grown food. </w:t>
            </w:r>
          </w:p>
        </w:tc>
        <w:tc>
          <w:tcPr>
            <w:tcW w:w="1099" w:type="dxa"/>
          </w:tcPr>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r>
              <w:t>PMc</w:t>
            </w: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r>
              <w:t>PMc</w:t>
            </w:r>
          </w:p>
          <w:p w:rsidR="002E3DD1" w:rsidRDefault="002E3DD1" w:rsidP="00457D99">
            <w:pPr>
              <w:jc w:val="center"/>
            </w:pPr>
          </w:p>
        </w:tc>
      </w:tr>
      <w:tr w:rsidR="002E3DD1" w:rsidTr="00884DFA">
        <w:trPr>
          <w:trHeight w:val="46"/>
        </w:trPr>
        <w:tc>
          <w:tcPr>
            <w:tcW w:w="8755" w:type="dxa"/>
          </w:tcPr>
          <w:p w:rsidR="002E3DD1" w:rsidRPr="00885F25" w:rsidRDefault="002E3DD1" w:rsidP="00C57F46">
            <w:pPr>
              <w:ind w:left="360"/>
              <w:rPr>
                <w:b/>
              </w:rPr>
            </w:pPr>
            <w:r>
              <w:rPr>
                <w:b/>
              </w:rPr>
              <w:t xml:space="preserve">9.   </w:t>
            </w:r>
            <w:r w:rsidRPr="00885F25">
              <w:rPr>
                <w:b/>
              </w:rPr>
              <w:t>Neighbourhood Champion Report</w:t>
            </w:r>
          </w:p>
          <w:p w:rsidR="002E3DD1" w:rsidRDefault="002E3DD1" w:rsidP="0087574D">
            <w:pPr>
              <w:pStyle w:val="ListParagraph"/>
              <w:numPr>
                <w:ilvl w:val="0"/>
                <w:numId w:val="12"/>
              </w:numPr>
            </w:pPr>
            <w:r>
              <w:t xml:space="preserve">DW introduced proposals for two projects which had been raised at the Panel: </w:t>
            </w:r>
          </w:p>
          <w:p w:rsidR="002E3DD1" w:rsidRDefault="002E3DD1" w:rsidP="009C4FFA">
            <w:pPr>
              <w:pStyle w:val="ListParagraph"/>
            </w:pPr>
            <w:r>
              <w:t>1. Paddington Close Parking restrictions (copies of proposals issued with papers) costs were approximately £1000.00 Panel approved project DW to instruct Highways Engineers to progress.</w:t>
            </w:r>
          </w:p>
          <w:p w:rsidR="002E3DD1" w:rsidRDefault="002E3DD1" w:rsidP="009C4FFA">
            <w:pPr>
              <w:pStyle w:val="ListParagraph"/>
            </w:pPr>
            <w:r>
              <w:t>2. Lime close lighting columns – total costs to be £3500 however 50% to be met by MastLift Co management of the Gateway therefore cost for Panel to approve £1750.00 Panel approved. DW to instruct Electrical section to progress.</w:t>
            </w:r>
          </w:p>
          <w:p w:rsidR="002E3DD1" w:rsidRDefault="002E3DD1" w:rsidP="009C4FFA">
            <w:pPr>
              <w:pStyle w:val="ListParagraph"/>
            </w:pPr>
            <w:r>
              <w:t>DW informed the Chair of work put in by one of the Gateway Managers Mark Nevin, in working with Salix Homes to access the funding from the management – Chair approved the appreciation of the Panel for this work by Mark.</w:t>
            </w:r>
          </w:p>
          <w:p w:rsidR="002E3DD1" w:rsidRDefault="002E3DD1" w:rsidP="009C4FFA">
            <w:pPr>
              <w:pStyle w:val="ListParagraph"/>
            </w:pPr>
            <w:r>
              <w:t>b) Gateway parking restrictions still under notice – all objections to be in by 14.11.10. DW to check with Highways Engineers for timescales for dates for work to begin.</w:t>
            </w:r>
          </w:p>
          <w:p w:rsidR="002E3DD1" w:rsidRDefault="002E3DD1" w:rsidP="009C4FFA">
            <w:pPr>
              <w:pStyle w:val="ListParagraph"/>
            </w:pPr>
            <w:r>
              <w:t>c) DW highlighted to the Panel all the good work they had achieved throughout the year and as above projects indicate have influenced necessary work and projects in the Pendleton neighbourhood. DW also indicated the need for feeding strategically into Community Committee so that it could carry on with important work and influence other projects and important issues.</w:t>
            </w:r>
          </w:p>
          <w:p w:rsidR="002E3DD1" w:rsidRDefault="002E3DD1" w:rsidP="009C4FFA">
            <w:pPr>
              <w:pStyle w:val="ListParagraph"/>
            </w:pPr>
            <w:r>
              <w:t>d) DW introduced the Pendleton Team summary fro the away day on the 22</w:t>
            </w:r>
            <w:r w:rsidRPr="00535FF6">
              <w:rPr>
                <w:vertAlign w:val="superscript"/>
              </w:rPr>
              <w:t>nd</w:t>
            </w:r>
            <w:r>
              <w:t xml:space="preserve"> of September (summary included with papers) and explained briefly what the important issues were from the team perspective. This would form the basis of projects for next twelve months, it would also be necessary for residents to highlight issues on their part of the neighbourhood to compliment the team summary. Panel agreed.  </w:t>
            </w:r>
          </w:p>
          <w:p w:rsidR="002E3DD1" w:rsidRDefault="002E3DD1" w:rsidP="009C4FFA">
            <w:pPr>
              <w:pStyle w:val="ListParagraph"/>
            </w:pPr>
            <w:r>
              <w:t>e) ED highlighted the issue over untaxed vehicles and asked for clarity over this policy. RAR informed the Panel of issue over cars on “private land” and Police involvement. DW indicated that Salix Homes were applying the policy and although it is a slow process, progress was being made. DW to ensure Panel and Residents groups have access to policy and clarity on what they can do.</w:t>
            </w:r>
          </w:p>
          <w:p w:rsidR="002E3DD1" w:rsidRDefault="002E3DD1" w:rsidP="009C4FFA">
            <w:pPr>
              <w:pStyle w:val="ListParagraph"/>
            </w:pPr>
            <w:r>
              <w:t xml:space="preserve">f) DW highlighted the issue of the Broadwalk and the area from the Shopping City crossing to St Paul’s Church also taking into account the car park managed by owners of Briarhill Court – DW asked that he could take this forward as a “whole” in project form to tackle the issue together from litter, cleaning, ASB and safety. DW said that issues in relation to ASB and alcohol were linked to the off license at Mulberry Court/St Pauls Church and also the Windsor Centre (Loaves and fishes). </w:t>
            </w:r>
          </w:p>
          <w:p w:rsidR="002E3DD1" w:rsidRDefault="002E3DD1" w:rsidP="009C4FFA">
            <w:pPr>
              <w:pStyle w:val="ListParagraph"/>
            </w:pPr>
            <w:r>
              <w:t>ED informed Panel that surplus food from allotments and the Salford Show are taken to Loaves and fishes. ED gave names for centre managers as Kate and Audrey – RAR said that there was a “Friends of Windsor Centre” and we should support them. DW to contact for liaison purposes.</w:t>
            </w:r>
          </w:p>
          <w:p w:rsidR="002E3DD1" w:rsidRDefault="002E3DD1" w:rsidP="009C4FFA">
            <w:pPr>
              <w:pStyle w:val="ListParagraph"/>
            </w:pPr>
            <w:r>
              <w:t xml:space="preserve">g) DW said that from the team summary and residents issues these should be prioritised and fed to the community committee if appropriate. DW to ensure regular meetings with Ross Spanner to this purpose. </w:t>
            </w:r>
          </w:p>
          <w:p w:rsidR="002E3DD1" w:rsidRDefault="002E3DD1" w:rsidP="009C4FFA">
            <w:pPr>
              <w:pStyle w:val="ListParagraph"/>
            </w:pPr>
            <w:r>
              <w:t xml:space="preserve">Councillor Drake raised her concerns that the Ordsall &amp; Langworthy Community Committee did not represent issues for Pendleton and Langworthy road. ED said that Pendleton should get more access to the budgets. DW to speak with Ross Spanner. Cllr Drake also wanted newsletters to reflect Pendleton and Langworthy issues more frequently. ED indicated that members of the Panel did not feel part of the Neighbourhood Management structure and would want more involvement and information. DW said that as previously mentioned his role would be to work with Ross Spanner to co ordinate and work on these issues.  </w:t>
            </w:r>
          </w:p>
          <w:p w:rsidR="002E3DD1" w:rsidRDefault="002E3DD1" w:rsidP="009C4FFA">
            <w:pPr>
              <w:pStyle w:val="ListParagraph"/>
            </w:pPr>
            <w:r>
              <w:t xml:space="preserve">h) RAR highlighted Black History group and the food and football events. SC informed the panel that she was attending the food event at the Gateway and DW also said he was officiating as a referee at the football tournament.            </w:t>
            </w:r>
          </w:p>
          <w:p w:rsidR="002E3DD1" w:rsidRDefault="002E3DD1" w:rsidP="009C4FFA">
            <w:pPr>
              <w:pStyle w:val="ListParagraph"/>
            </w:pPr>
          </w:p>
          <w:p w:rsidR="002E3DD1" w:rsidRPr="00972977" w:rsidRDefault="002E3DD1" w:rsidP="00972977">
            <w:pPr>
              <w:pStyle w:val="ListParagraph"/>
              <w:ind w:left="360"/>
              <w:rPr>
                <w:b/>
              </w:rPr>
            </w:pPr>
            <w:r w:rsidRPr="00972977">
              <w:rPr>
                <w:b/>
              </w:rPr>
              <w:t>10. AOB</w:t>
            </w:r>
          </w:p>
          <w:p w:rsidR="002E3DD1" w:rsidRDefault="002E3DD1" w:rsidP="0039209D">
            <w:pPr>
              <w:pStyle w:val="ListParagraph"/>
              <w:ind w:left="1080" w:hanging="360"/>
            </w:pPr>
            <w:r>
              <w:t xml:space="preserve">a) There is an issue with the University residents and the bus stops again and stopping outside Salix Court – residents to monitor and see if an issue ongoing. MW said we should see what the problems are and then try and address if necessary but wherever the bus stops could potentially “annoy” someone.  </w:t>
            </w:r>
          </w:p>
          <w:p w:rsidR="002E3DD1" w:rsidRDefault="002E3DD1" w:rsidP="0039209D">
            <w:pPr>
              <w:pStyle w:val="ListParagraph"/>
              <w:ind w:left="1080" w:hanging="360"/>
            </w:pPr>
            <w:r>
              <w:t>b) There were issues raised over taxis “parking and backing up on Salford Precinct, speeding cars on Churchill Way – DW to take this up with SCC/Ross Spanner. Ed also highlighted the area adjacent to Thorn Court on Belvedere Road and the intensive works completed to the A6 (Broad Street0 and his concerns over safety for pedestrians – DW to look into this. ED also said that the Paddock Pub had been broken into and gates unlocked plus litter from McDonalds was a major issue in surrounding Streets. This was an ongoing issue and required SCC guidance re McDonalds.</w:t>
            </w:r>
          </w:p>
          <w:p w:rsidR="002E3DD1" w:rsidRDefault="002E3DD1" w:rsidP="0039209D">
            <w:pPr>
              <w:pStyle w:val="ListParagraph"/>
              <w:ind w:left="1080" w:hanging="360"/>
            </w:pPr>
            <w:r>
              <w:t xml:space="preserve">c)   MW asked about the blue bridge which served Belvedere Road and the Frederick Road side of Broad Street. AW said he had heard they were moving the bridge. However, MW said the bridge had been closed for a year and could have been condemned? DW to check this out as it has implications to above safety concerns raised by ED. There was then a discussion in relation the works progressing on the bus lane and single traffic lanes being introduced on A6 and Chapel Street and how it could affect routes through Pendleton such as Cross Lane, how traffic would be diverted on Albion Way, Fitzwarren Street etc. The chair asked that it would be appropriate for someone from the relevant agencies to confirm what is being planned. DW to look into this.  </w:t>
            </w:r>
          </w:p>
          <w:p w:rsidR="002E3DD1" w:rsidRDefault="002E3DD1" w:rsidP="0039209D">
            <w:pPr>
              <w:pStyle w:val="ListParagraph"/>
              <w:ind w:left="1080" w:hanging="360"/>
            </w:pPr>
          </w:p>
          <w:p w:rsidR="002E3DD1" w:rsidRDefault="002E3DD1" w:rsidP="0039209D">
            <w:pPr>
              <w:pStyle w:val="ListParagraph"/>
              <w:ind w:left="1080" w:hanging="360"/>
            </w:pPr>
            <w:r>
              <w:t xml:space="preserve">The Chair thanked all for attendance and closed the meeting </w:t>
            </w:r>
          </w:p>
        </w:tc>
        <w:tc>
          <w:tcPr>
            <w:tcW w:w="1099" w:type="dxa"/>
          </w:tcPr>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r>
              <w:t>DW</w:t>
            </w: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r>
              <w:t>ALL</w:t>
            </w:r>
          </w:p>
          <w:p w:rsidR="002E3DD1" w:rsidRDefault="002E3DD1" w:rsidP="00457D99">
            <w:pPr>
              <w:jc w:val="center"/>
            </w:pPr>
          </w:p>
          <w:p w:rsidR="002E3DD1" w:rsidRDefault="002E3DD1" w:rsidP="00457D99">
            <w:pPr>
              <w:jc w:val="center"/>
            </w:pPr>
          </w:p>
          <w:p w:rsidR="002E3DD1" w:rsidRDefault="002E3DD1" w:rsidP="00457D99">
            <w:pPr>
              <w:jc w:val="center"/>
            </w:pPr>
            <w:r>
              <w:t>DW</w:t>
            </w: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r>
              <w:t>DW</w:t>
            </w: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r>
              <w:t>DW</w:t>
            </w: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r>
              <w:t>DW</w:t>
            </w: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r>
              <w:t>DW</w:t>
            </w:r>
          </w:p>
          <w:p w:rsidR="002E3DD1" w:rsidRDefault="002E3DD1" w:rsidP="00457D99">
            <w:pPr>
              <w:jc w:val="center"/>
            </w:pPr>
          </w:p>
          <w:p w:rsidR="002E3DD1" w:rsidRDefault="002E3DD1" w:rsidP="00457D99">
            <w:pPr>
              <w:jc w:val="center"/>
            </w:pPr>
          </w:p>
          <w:p w:rsidR="002E3DD1" w:rsidRDefault="002E3DD1" w:rsidP="00457D99">
            <w:pPr>
              <w:jc w:val="center"/>
            </w:pPr>
            <w:r>
              <w:t>DW</w:t>
            </w: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r>
              <w:t>DW</w:t>
            </w: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r>
              <w:t>DW</w:t>
            </w: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r>
              <w:t>ALL</w:t>
            </w:r>
          </w:p>
          <w:p w:rsidR="002E3DD1" w:rsidRDefault="002E3DD1" w:rsidP="00457D99">
            <w:pPr>
              <w:jc w:val="center"/>
            </w:pPr>
          </w:p>
          <w:p w:rsidR="002E3DD1" w:rsidRDefault="002E3DD1" w:rsidP="00457D99">
            <w:pPr>
              <w:jc w:val="center"/>
            </w:pPr>
          </w:p>
          <w:p w:rsidR="002E3DD1" w:rsidRDefault="002E3DD1" w:rsidP="00457D99">
            <w:pPr>
              <w:jc w:val="center"/>
            </w:pPr>
            <w:r>
              <w:t>DW</w:t>
            </w:r>
          </w:p>
          <w:p w:rsidR="002E3DD1" w:rsidRDefault="002E3DD1" w:rsidP="00457D99">
            <w:pPr>
              <w:jc w:val="center"/>
            </w:pPr>
          </w:p>
          <w:p w:rsidR="002E3DD1" w:rsidRDefault="002E3DD1" w:rsidP="00457D99">
            <w:pPr>
              <w:jc w:val="center"/>
            </w:pPr>
            <w:r>
              <w:t>DW</w:t>
            </w:r>
          </w:p>
          <w:p w:rsidR="002E3DD1" w:rsidRDefault="002E3DD1" w:rsidP="00457D99">
            <w:pPr>
              <w:jc w:val="center"/>
            </w:pPr>
          </w:p>
          <w:p w:rsidR="002E3DD1" w:rsidRDefault="002E3DD1" w:rsidP="00457D99">
            <w:pPr>
              <w:jc w:val="center"/>
            </w:pPr>
          </w:p>
          <w:p w:rsidR="002E3DD1" w:rsidRDefault="002E3DD1" w:rsidP="00457D99">
            <w:pPr>
              <w:jc w:val="center"/>
            </w:pPr>
            <w:r>
              <w:t>RS</w:t>
            </w: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r>
              <w:t>DW</w:t>
            </w:r>
          </w:p>
          <w:p w:rsidR="002E3DD1" w:rsidRDefault="002E3DD1" w:rsidP="00457D99">
            <w:pPr>
              <w:jc w:val="center"/>
            </w:pPr>
          </w:p>
          <w:p w:rsidR="002E3DD1" w:rsidRDefault="002E3DD1" w:rsidP="00457D99">
            <w:pPr>
              <w:jc w:val="center"/>
            </w:pPr>
          </w:p>
          <w:p w:rsidR="002E3DD1" w:rsidRDefault="002E3DD1" w:rsidP="00DE2148">
            <w:pPr>
              <w:jc w:val="center"/>
            </w:pPr>
          </w:p>
        </w:tc>
      </w:tr>
      <w:tr w:rsidR="002E3DD1" w:rsidTr="00884DFA">
        <w:trPr>
          <w:trHeight w:val="46"/>
        </w:trPr>
        <w:tc>
          <w:tcPr>
            <w:tcW w:w="8755" w:type="dxa"/>
          </w:tcPr>
          <w:p w:rsidR="002E3DD1" w:rsidRDefault="002E3DD1" w:rsidP="00C57F46">
            <w:pPr>
              <w:ind w:left="360"/>
              <w:rPr>
                <w:b/>
              </w:rPr>
            </w:pPr>
            <w:r>
              <w:rPr>
                <w:b/>
              </w:rPr>
              <w:t xml:space="preserve">11. </w:t>
            </w:r>
            <w:r w:rsidRPr="001E6E39">
              <w:rPr>
                <w:b/>
              </w:rPr>
              <w:t>Date and time of next meeting</w:t>
            </w:r>
          </w:p>
          <w:p w:rsidR="002E3DD1" w:rsidRPr="001E6E39" w:rsidRDefault="002E3DD1" w:rsidP="001E6E39">
            <w:pPr>
              <w:rPr>
                <w:b/>
              </w:rPr>
            </w:pPr>
          </w:p>
          <w:p w:rsidR="002E3DD1" w:rsidRDefault="002E3DD1" w:rsidP="00C57F46">
            <w:pPr>
              <w:ind w:left="1080"/>
            </w:pPr>
            <w:r>
              <w:t>Date - Thursday 25th November 2010</w:t>
            </w:r>
          </w:p>
          <w:p w:rsidR="002E3DD1" w:rsidRDefault="002E3DD1" w:rsidP="00C57F46">
            <w:pPr>
              <w:ind w:left="1080"/>
            </w:pPr>
            <w:r>
              <w:t>Time – 7pm – 9pm</w:t>
            </w:r>
          </w:p>
          <w:p w:rsidR="002E3DD1" w:rsidRDefault="002E3DD1" w:rsidP="00C57F46">
            <w:pPr>
              <w:ind w:left="720" w:firstLine="360"/>
            </w:pPr>
            <w:r>
              <w:t>Venue – The Gateway</w:t>
            </w:r>
          </w:p>
          <w:p w:rsidR="002E3DD1" w:rsidRDefault="002E3DD1" w:rsidP="00C57F46">
            <w:pPr>
              <w:ind w:left="720" w:firstLine="360"/>
            </w:pPr>
          </w:p>
          <w:p w:rsidR="002E3DD1" w:rsidRDefault="002E3DD1" w:rsidP="006A04EC">
            <w:pPr>
              <w:ind w:left="720"/>
            </w:pPr>
          </w:p>
        </w:tc>
        <w:tc>
          <w:tcPr>
            <w:tcW w:w="1099" w:type="dxa"/>
          </w:tcPr>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457D99">
            <w:pPr>
              <w:jc w:val="center"/>
            </w:pPr>
          </w:p>
          <w:p w:rsidR="002E3DD1" w:rsidRDefault="002E3DD1" w:rsidP="000C082E">
            <w:pPr>
              <w:jc w:val="center"/>
            </w:pPr>
          </w:p>
        </w:tc>
      </w:tr>
    </w:tbl>
    <w:p w:rsidR="002E3DD1" w:rsidRDefault="002E3DD1" w:rsidP="0002305F"/>
    <w:p w:rsidR="002E3DD1" w:rsidRDefault="002E3DD1"/>
    <w:sectPr w:rsidR="002E3DD1" w:rsidSect="00852870">
      <w:footerReference w:type="even" r:id="rId7"/>
      <w:footerReference w:type="default" r:id="rId8"/>
      <w:pgSz w:w="11906" w:h="16838"/>
      <w:pgMar w:top="851"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DD1" w:rsidRDefault="002E3DD1">
      <w:r>
        <w:separator/>
      </w:r>
    </w:p>
  </w:endnote>
  <w:endnote w:type="continuationSeparator" w:id="0">
    <w:p w:rsidR="002E3DD1" w:rsidRDefault="002E3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D1" w:rsidRDefault="002E3DD1" w:rsidP="00C72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3DD1" w:rsidRDefault="002E3D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D1" w:rsidRDefault="002E3DD1" w:rsidP="00C72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3DD1" w:rsidRDefault="002E3D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DD1" w:rsidRDefault="002E3DD1">
      <w:r>
        <w:separator/>
      </w:r>
    </w:p>
  </w:footnote>
  <w:footnote w:type="continuationSeparator" w:id="0">
    <w:p w:rsidR="002E3DD1" w:rsidRDefault="002E3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7C2"/>
    <w:multiLevelType w:val="hybridMultilevel"/>
    <w:tmpl w:val="B24479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3362D4"/>
    <w:multiLevelType w:val="hybridMultilevel"/>
    <w:tmpl w:val="3962DC16"/>
    <w:lvl w:ilvl="0" w:tplc="0809000F">
      <w:start w:val="5"/>
      <w:numFmt w:val="decimal"/>
      <w:lvlText w:val="%1."/>
      <w:lvlJc w:val="left"/>
      <w:pPr>
        <w:tabs>
          <w:tab w:val="num" w:pos="720"/>
        </w:tabs>
        <w:ind w:left="720" w:hanging="360"/>
      </w:pPr>
      <w:rPr>
        <w:rFonts w:cs="Times New Roman" w:hint="default"/>
      </w:rPr>
    </w:lvl>
    <w:lvl w:ilvl="1" w:tplc="E676D6B6">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AE76542"/>
    <w:multiLevelType w:val="hybridMultilevel"/>
    <w:tmpl w:val="01F6ABFE"/>
    <w:lvl w:ilvl="0" w:tplc="08090017">
      <w:start w:val="1"/>
      <w:numFmt w:val="lowerLetter"/>
      <w:lvlText w:val="%1)"/>
      <w:lvlJc w:val="left"/>
      <w:pPr>
        <w:ind w:left="1071" w:hanging="360"/>
      </w:pPr>
      <w:rPr>
        <w:rFonts w:cs="Times New Roman"/>
      </w:rPr>
    </w:lvl>
    <w:lvl w:ilvl="1" w:tplc="08090019" w:tentative="1">
      <w:start w:val="1"/>
      <w:numFmt w:val="lowerLetter"/>
      <w:lvlText w:val="%2."/>
      <w:lvlJc w:val="left"/>
      <w:pPr>
        <w:ind w:left="1791" w:hanging="360"/>
      </w:pPr>
      <w:rPr>
        <w:rFonts w:cs="Times New Roman"/>
      </w:rPr>
    </w:lvl>
    <w:lvl w:ilvl="2" w:tplc="0809001B" w:tentative="1">
      <w:start w:val="1"/>
      <w:numFmt w:val="lowerRoman"/>
      <w:lvlText w:val="%3."/>
      <w:lvlJc w:val="right"/>
      <w:pPr>
        <w:ind w:left="2511" w:hanging="180"/>
      </w:pPr>
      <w:rPr>
        <w:rFonts w:cs="Times New Roman"/>
      </w:rPr>
    </w:lvl>
    <w:lvl w:ilvl="3" w:tplc="0809000F" w:tentative="1">
      <w:start w:val="1"/>
      <w:numFmt w:val="decimal"/>
      <w:lvlText w:val="%4."/>
      <w:lvlJc w:val="left"/>
      <w:pPr>
        <w:ind w:left="3231" w:hanging="360"/>
      </w:pPr>
      <w:rPr>
        <w:rFonts w:cs="Times New Roman"/>
      </w:rPr>
    </w:lvl>
    <w:lvl w:ilvl="4" w:tplc="08090019" w:tentative="1">
      <w:start w:val="1"/>
      <w:numFmt w:val="lowerLetter"/>
      <w:lvlText w:val="%5."/>
      <w:lvlJc w:val="left"/>
      <w:pPr>
        <w:ind w:left="3951" w:hanging="360"/>
      </w:pPr>
      <w:rPr>
        <w:rFonts w:cs="Times New Roman"/>
      </w:rPr>
    </w:lvl>
    <w:lvl w:ilvl="5" w:tplc="0809001B" w:tentative="1">
      <w:start w:val="1"/>
      <w:numFmt w:val="lowerRoman"/>
      <w:lvlText w:val="%6."/>
      <w:lvlJc w:val="right"/>
      <w:pPr>
        <w:ind w:left="4671" w:hanging="180"/>
      </w:pPr>
      <w:rPr>
        <w:rFonts w:cs="Times New Roman"/>
      </w:rPr>
    </w:lvl>
    <w:lvl w:ilvl="6" w:tplc="0809000F" w:tentative="1">
      <w:start w:val="1"/>
      <w:numFmt w:val="decimal"/>
      <w:lvlText w:val="%7."/>
      <w:lvlJc w:val="left"/>
      <w:pPr>
        <w:ind w:left="5391" w:hanging="360"/>
      </w:pPr>
      <w:rPr>
        <w:rFonts w:cs="Times New Roman"/>
      </w:rPr>
    </w:lvl>
    <w:lvl w:ilvl="7" w:tplc="08090019" w:tentative="1">
      <w:start w:val="1"/>
      <w:numFmt w:val="lowerLetter"/>
      <w:lvlText w:val="%8."/>
      <w:lvlJc w:val="left"/>
      <w:pPr>
        <w:ind w:left="6111" w:hanging="360"/>
      </w:pPr>
      <w:rPr>
        <w:rFonts w:cs="Times New Roman"/>
      </w:rPr>
    </w:lvl>
    <w:lvl w:ilvl="8" w:tplc="0809001B" w:tentative="1">
      <w:start w:val="1"/>
      <w:numFmt w:val="lowerRoman"/>
      <w:lvlText w:val="%9."/>
      <w:lvlJc w:val="right"/>
      <w:pPr>
        <w:ind w:left="6831" w:hanging="180"/>
      </w:pPr>
      <w:rPr>
        <w:rFonts w:cs="Times New Roman"/>
      </w:rPr>
    </w:lvl>
  </w:abstractNum>
  <w:abstractNum w:abstractNumId="3">
    <w:nsid w:val="11DD0CB4"/>
    <w:multiLevelType w:val="hybridMultilevel"/>
    <w:tmpl w:val="B5340254"/>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1ABA04B0"/>
    <w:multiLevelType w:val="hybridMultilevel"/>
    <w:tmpl w:val="EF08A54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DFF74AA"/>
    <w:multiLevelType w:val="hybridMultilevel"/>
    <w:tmpl w:val="BB46091A"/>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1F263633"/>
    <w:multiLevelType w:val="multilevel"/>
    <w:tmpl w:val="BB46091A"/>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24255DF2"/>
    <w:multiLevelType w:val="hybridMultilevel"/>
    <w:tmpl w:val="AC0A7756"/>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nsid w:val="36D95D19"/>
    <w:multiLevelType w:val="hybridMultilevel"/>
    <w:tmpl w:val="EE5CD338"/>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3DF64FDC"/>
    <w:multiLevelType w:val="hybridMultilevel"/>
    <w:tmpl w:val="F67A27D6"/>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482B643D"/>
    <w:multiLevelType w:val="hybridMultilevel"/>
    <w:tmpl w:val="20666114"/>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499B7859"/>
    <w:multiLevelType w:val="hybridMultilevel"/>
    <w:tmpl w:val="954AA1AC"/>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54213CE9"/>
    <w:multiLevelType w:val="hybridMultilevel"/>
    <w:tmpl w:val="01F6ABFE"/>
    <w:lvl w:ilvl="0" w:tplc="08090017">
      <w:start w:val="1"/>
      <w:numFmt w:val="lowerLetter"/>
      <w:lvlText w:val="%1)"/>
      <w:lvlJc w:val="left"/>
      <w:pPr>
        <w:ind w:left="1071" w:hanging="360"/>
      </w:pPr>
      <w:rPr>
        <w:rFonts w:cs="Times New Roman"/>
      </w:rPr>
    </w:lvl>
    <w:lvl w:ilvl="1" w:tplc="08090019" w:tentative="1">
      <w:start w:val="1"/>
      <w:numFmt w:val="lowerLetter"/>
      <w:lvlText w:val="%2."/>
      <w:lvlJc w:val="left"/>
      <w:pPr>
        <w:ind w:left="1791" w:hanging="360"/>
      </w:pPr>
      <w:rPr>
        <w:rFonts w:cs="Times New Roman"/>
      </w:rPr>
    </w:lvl>
    <w:lvl w:ilvl="2" w:tplc="0809001B" w:tentative="1">
      <w:start w:val="1"/>
      <w:numFmt w:val="lowerRoman"/>
      <w:lvlText w:val="%3."/>
      <w:lvlJc w:val="right"/>
      <w:pPr>
        <w:ind w:left="2511" w:hanging="180"/>
      </w:pPr>
      <w:rPr>
        <w:rFonts w:cs="Times New Roman"/>
      </w:rPr>
    </w:lvl>
    <w:lvl w:ilvl="3" w:tplc="0809000F" w:tentative="1">
      <w:start w:val="1"/>
      <w:numFmt w:val="decimal"/>
      <w:lvlText w:val="%4."/>
      <w:lvlJc w:val="left"/>
      <w:pPr>
        <w:ind w:left="3231" w:hanging="360"/>
      </w:pPr>
      <w:rPr>
        <w:rFonts w:cs="Times New Roman"/>
      </w:rPr>
    </w:lvl>
    <w:lvl w:ilvl="4" w:tplc="08090019" w:tentative="1">
      <w:start w:val="1"/>
      <w:numFmt w:val="lowerLetter"/>
      <w:lvlText w:val="%5."/>
      <w:lvlJc w:val="left"/>
      <w:pPr>
        <w:ind w:left="3951" w:hanging="360"/>
      </w:pPr>
      <w:rPr>
        <w:rFonts w:cs="Times New Roman"/>
      </w:rPr>
    </w:lvl>
    <w:lvl w:ilvl="5" w:tplc="0809001B" w:tentative="1">
      <w:start w:val="1"/>
      <w:numFmt w:val="lowerRoman"/>
      <w:lvlText w:val="%6."/>
      <w:lvlJc w:val="right"/>
      <w:pPr>
        <w:ind w:left="4671" w:hanging="180"/>
      </w:pPr>
      <w:rPr>
        <w:rFonts w:cs="Times New Roman"/>
      </w:rPr>
    </w:lvl>
    <w:lvl w:ilvl="6" w:tplc="0809000F" w:tentative="1">
      <w:start w:val="1"/>
      <w:numFmt w:val="decimal"/>
      <w:lvlText w:val="%7."/>
      <w:lvlJc w:val="left"/>
      <w:pPr>
        <w:ind w:left="5391" w:hanging="360"/>
      </w:pPr>
      <w:rPr>
        <w:rFonts w:cs="Times New Roman"/>
      </w:rPr>
    </w:lvl>
    <w:lvl w:ilvl="7" w:tplc="08090019" w:tentative="1">
      <w:start w:val="1"/>
      <w:numFmt w:val="lowerLetter"/>
      <w:lvlText w:val="%8."/>
      <w:lvlJc w:val="left"/>
      <w:pPr>
        <w:ind w:left="6111" w:hanging="360"/>
      </w:pPr>
      <w:rPr>
        <w:rFonts w:cs="Times New Roman"/>
      </w:rPr>
    </w:lvl>
    <w:lvl w:ilvl="8" w:tplc="0809001B" w:tentative="1">
      <w:start w:val="1"/>
      <w:numFmt w:val="lowerRoman"/>
      <w:lvlText w:val="%9."/>
      <w:lvlJc w:val="right"/>
      <w:pPr>
        <w:ind w:left="6831" w:hanging="180"/>
      </w:pPr>
      <w:rPr>
        <w:rFonts w:cs="Times New Roman"/>
      </w:rPr>
    </w:lvl>
  </w:abstractNum>
  <w:abstractNum w:abstractNumId="13">
    <w:nsid w:val="57691DCE"/>
    <w:multiLevelType w:val="hybridMultilevel"/>
    <w:tmpl w:val="286E5C50"/>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6EFA449C"/>
    <w:multiLevelType w:val="hybridMultilevel"/>
    <w:tmpl w:val="B5340254"/>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6F7F3033"/>
    <w:multiLevelType w:val="hybridMultilevel"/>
    <w:tmpl w:val="B36EEF98"/>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nsid w:val="76E33012"/>
    <w:multiLevelType w:val="multilevel"/>
    <w:tmpl w:val="7A0EF384"/>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781B78D1"/>
    <w:multiLevelType w:val="hybridMultilevel"/>
    <w:tmpl w:val="5CA471F6"/>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14"/>
  </w:num>
  <w:num w:numId="3">
    <w:abstractNumId w:val="10"/>
  </w:num>
  <w:num w:numId="4">
    <w:abstractNumId w:val="3"/>
  </w:num>
  <w:num w:numId="5">
    <w:abstractNumId w:val="13"/>
  </w:num>
  <w:num w:numId="6">
    <w:abstractNumId w:val="7"/>
  </w:num>
  <w:num w:numId="7">
    <w:abstractNumId w:val="4"/>
  </w:num>
  <w:num w:numId="8">
    <w:abstractNumId w:val="11"/>
  </w:num>
  <w:num w:numId="9">
    <w:abstractNumId w:val="15"/>
  </w:num>
  <w:num w:numId="10">
    <w:abstractNumId w:val="12"/>
  </w:num>
  <w:num w:numId="11">
    <w:abstractNumId w:val="2"/>
  </w:num>
  <w:num w:numId="12">
    <w:abstractNumId w:val="5"/>
  </w:num>
  <w:num w:numId="13">
    <w:abstractNumId w:val="17"/>
  </w:num>
  <w:num w:numId="14">
    <w:abstractNumId w:val="1"/>
  </w:num>
  <w:num w:numId="15">
    <w:abstractNumId w:val="16"/>
  </w:num>
  <w:num w:numId="16">
    <w:abstractNumId w:val="6"/>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05F"/>
    <w:rsid w:val="000008FD"/>
    <w:rsid w:val="0000109E"/>
    <w:rsid w:val="0002305F"/>
    <w:rsid w:val="0003360F"/>
    <w:rsid w:val="00060AB2"/>
    <w:rsid w:val="00084EDE"/>
    <w:rsid w:val="00086FB1"/>
    <w:rsid w:val="00092D67"/>
    <w:rsid w:val="00093B6D"/>
    <w:rsid w:val="000944E1"/>
    <w:rsid w:val="000C082E"/>
    <w:rsid w:val="000D0AA5"/>
    <w:rsid w:val="000D325A"/>
    <w:rsid w:val="000E11FB"/>
    <w:rsid w:val="00103FFF"/>
    <w:rsid w:val="00107865"/>
    <w:rsid w:val="001236CC"/>
    <w:rsid w:val="00124AA1"/>
    <w:rsid w:val="0012731E"/>
    <w:rsid w:val="00130A49"/>
    <w:rsid w:val="00142A6B"/>
    <w:rsid w:val="0015308F"/>
    <w:rsid w:val="001552FD"/>
    <w:rsid w:val="00194E30"/>
    <w:rsid w:val="001A2194"/>
    <w:rsid w:val="001C5321"/>
    <w:rsid w:val="001C75F2"/>
    <w:rsid w:val="001D7C59"/>
    <w:rsid w:val="001E1B66"/>
    <w:rsid w:val="001E3324"/>
    <w:rsid w:val="001E6E39"/>
    <w:rsid w:val="001F20AB"/>
    <w:rsid w:val="002035CF"/>
    <w:rsid w:val="00227237"/>
    <w:rsid w:val="00245903"/>
    <w:rsid w:val="00253CE8"/>
    <w:rsid w:val="00254D34"/>
    <w:rsid w:val="002550C3"/>
    <w:rsid w:val="0027106D"/>
    <w:rsid w:val="00274950"/>
    <w:rsid w:val="00277A2E"/>
    <w:rsid w:val="0028557E"/>
    <w:rsid w:val="002857DC"/>
    <w:rsid w:val="00291B72"/>
    <w:rsid w:val="002C0CCD"/>
    <w:rsid w:val="002C59E1"/>
    <w:rsid w:val="002E3DD1"/>
    <w:rsid w:val="002F0CBF"/>
    <w:rsid w:val="00302ABE"/>
    <w:rsid w:val="00317F08"/>
    <w:rsid w:val="00323C63"/>
    <w:rsid w:val="00325B9E"/>
    <w:rsid w:val="0036012A"/>
    <w:rsid w:val="0036348A"/>
    <w:rsid w:val="00385AAC"/>
    <w:rsid w:val="00387299"/>
    <w:rsid w:val="0039209D"/>
    <w:rsid w:val="00392DCB"/>
    <w:rsid w:val="003946B6"/>
    <w:rsid w:val="00395779"/>
    <w:rsid w:val="003A25CE"/>
    <w:rsid w:val="003B0FC3"/>
    <w:rsid w:val="003C41DC"/>
    <w:rsid w:val="003F4423"/>
    <w:rsid w:val="003F75BB"/>
    <w:rsid w:val="003F785F"/>
    <w:rsid w:val="00400C57"/>
    <w:rsid w:val="0041011B"/>
    <w:rsid w:val="00411D9D"/>
    <w:rsid w:val="00457D99"/>
    <w:rsid w:val="00470704"/>
    <w:rsid w:val="004B205A"/>
    <w:rsid w:val="004C3B57"/>
    <w:rsid w:val="004C3E67"/>
    <w:rsid w:val="004C52A0"/>
    <w:rsid w:val="004C70A0"/>
    <w:rsid w:val="004E3B93"/>
    <w:rsid w:val="004F66FA"/>
    <w:rsid w:val="00501B00"/>
    <w:rsid w:val="00502D25"/>
    <w:rsid w:val="0050715E"/>
    <w:rsid w:val="00522E94"/>
    <w:rsid w:val="00535FF6"/>
    <w:rsid w:val="0054525B"/>
    <w:rsid w:val="0056359D"/>
    <w:rsid w:val="005B1128"/>
    <w:rsid w:val="005C223A"/>
    <w:rsid w:val="005E0301"/>
    <w:rsid w:val="00607B3E"/>
    <w:rsid w:val="00643B04"/>
    <w:rsid w:val="006633E8"/>
    <w:rsid w:val="00666516"/>
    <w:rsid w:val="006710A7"/>
    <w:rsid w:val="00671C43"/>
    <w:rsid w:val="00673EB0"/>
    <w:rsid w:val="006775B2"/>
    <w:rsid w:val="006A04EC"/>
    <w:rsid w:val="006A13EB"/>
    <w:rsid w:val="006A141C"/>
    <w:rsid w:val="006A2409"/>
    <w:rsid w:val="006C0B24"/>
    <w:rsid w:val="006C5287"/>
    <w:rsid w:val="006E6588"/>
    <w:rsid w:val="006F0EC6"/>
    <w:rsid w:val="006F19DE"/>
    <w:rsid w:val="006F7FB6"/>
    <w:rsid w:val="00702AA4"/>
    <w:rsid w:val="00703EF8"/>
    <w:rsid w:val="00704AEB"/>
    <w:rsid w:val="007068DE"/>
    <w:rsid w:val="007152A5"/>
    <w:rsid w:val="007270F9"/>
    <w:rsid w:val="00732551"/>
    <w:rsid w:val="00750ADE"/>
    <w:rsid w:val="00753F71"/>
    <w:rsid w:val="00761140"/>
    <w:rsid w:val="00775714"/>
    <w:rsid w:val="007930B8"/>
    <w:rsid w:val="00796A0E"/>
    <w:rsid w:val="0079757B"/>
    <w:rsid w:val="007B6955"/>
    <w:rsid w:val="007C2423"/>
    <w:rsid w:val="007D4F26"/>
    <w:rsid w:val="007E035B"/>
    <w:rsid w:val="007E5381"/>
    <w:rsid w:val="007F183B"/>
    <w:rsid w:val="00801533"/>
    <w:rsid w:val="00805E76"/>
    <w:rsid w:val="008108AE"/>
    <w:rsid w:val="00814B22"/>
    <w:rsid w:val="00830A73"/>
    <w:rsid w:val="00844F12"/>
    <w:rsid w:val="0084506C"/>
    <w:rsid w:val="00847999"/>
    <w:rsid w:val="00852870"/>
    <w:rsid w:val="0086497C"/>
    <w:rsid w:val="00871903"/>
    <w:rsid w:val="00871A7E"/>
    <w:rsid w:val="0087574D"/>
    <w:rsid w:val="00884DFA"/>
    <w:rsid w:val="008855EF"/>
    <w:rsid w:val="00885F25"/>
    <w:rsid w:val="00896333"/>
    <w:rsid w:val="00897101"/>
    <w:rsid w:val="008B4977"/>
    <w:rsid w:val="008B4AFF"/>
    <w:rsid w:val="008C36F0"/>
    <w:rsid w:val="008E0D82"/>
    <w:rsid w:val="008F12C9"/>
    <w:rsid w:val="008F6637"/>
    <w:rsid w:val="00901C5E"/>
    <w:rsid w:val="00920F38"/>
    <w:rsid w:val="009232C4"/>
    <w:rsid w:val="009308F3"/>
    <w:rsid w:val="00930F3F"/>
    <w:rsid w:val="0093153B"/>
    <w:rsid w:val="0096244E"/>
    <w:rsid w:val="00966B4E"/>
    <w:rsid w:val="00967B85"/>
    <w:rsid w:val="00970F84"/>
    <w:rsid w:val="00972977"/>
    <w:rsid w:val="00977372"/>
    <w:rsid w:val="009935D2"/>
    <w:rsid w:val="00997377"/>
    <w:rsid w:val="009A1EA0"/>
    <w:rsid w:val="009B084E"/>
    <w:rsid w:val="009B5055"/>
    <w:rsid w:val="009C4FFA"/>
    <w:rsid w:val="009C786C"/>
    <w:rsid w:val="009F2F34"/>
    <w:rsid w:val="009F6518"/>
    <w:rsid w:val="009F7800"/>
    <w:rsid w:val="00A266B7"/>
    <w:rsid w:val="00A44644"/>
    <w:rsid w:val="00A51FB1"/>
    <w:rsid w:val="00A53D3A"/>
    <w:rsid w:val="00A611F6"/>
    <w:rsid w:val="00A8130C"/>
    <w:rsid w:val="00A85AFF"/>
    <w:rsid w:val="00A90972"/>
    <w:rsid w:val="00A92874"/>
    <w:rsid w:val="00AB17BD"/>
    <w:rsid w:val="00AB6733"/>
    <w:rsid w:val="00AC78EC"/>
    <w:rsid w:val="00AD777E"/>
    <w:rsid w:val="00AE10B6"/>
    <w:rsid w:val="00AF1940"/>
    <w:rsid w:val="00AF38E2"/>
    <w:rsid w:val="00B12D77"/>
    <w:rsid w:val="00B161A4"/>
    <w:rsid w:val="00B46A24"/>
    <w:rsid w:val="00B51943"/>
    <w:rsid w:val="00B63AAC"/>
    <w:rsid w:val="00B94ECA"/>
    <w:rsid w:val="00BA1207"/>
    <w:rsid w:val="00BC112D"/>
    <w:rsid w:val="00BC24D4"/>
    <w:rsid w:val="00BD5E98"/>
    <w:rsid w:val="00C00231"/>
    <w:rsid w:val="00C03E72"/>
    <w:rsid w:val="00C126D8"/>
    <w:rsid w:val="00C252A7"/>
    <w:rsid w:val="00C43356"/>
    <w:rsid w:val="00C57F46"/>
    <w:rsid w:val="00C66289"/>
    <w:rsid w:val="00C72CA5"/>
    <w:rsid w:val="00C72DFD"/>
    <w:rsid w:val="00C81052"/>
    <w:rsid w:val="00C81FEF"/>
    <w:rsid w:val="00C86EB8"/>
    <w:rsid w:val="00C87D92"/>
    <w:rsid w:val="00CC1C0E"/>
    <w:rsid w:val="00CE033B"/>
    <w:rsid w:val="00CE0AC1"/>
    <w:rsid w:val="00CF49DD"/>
    <w:rsid w:val="00D004C6"/>
    <w:rsid w:val="00D02A46"/>
    <w:rsid w:val="00D1492C"/>
    <w:rsid w:val="00D2020D"/>
    <w:rsid w:val="00D42565"/>
    <w:rsid w:val="00D4650C"/>
    <w:rsid w:val="00D7669B"/>
    <w:rsid w:val="00DA7B0E"/>
    <w:rsid w:val="00DE2148"/>
    <w:rsid w:val="00E058E3"/>
    <w:rsid w:val="00E1617B"/>
    <w:rsid w:val="00E20016"/>
    <w:rsid w:val="00E24D39"/>
    <w:rsid w:val="00E41B50"/>
    <w:rsid w:val="00E75DB7"/>
    <w:rsid w:val="00E76956"/>
    <w:rsid w:val="00E96B78"/>
    <w:rsid w:val="00EA012C"/>
    <w:rsid w:val="00EA7649"/>
    <w:rsid w:val="00F3041D"/>
    <w:rsid w:val="00F35187"/>
    <w:rsid w:val="00F51C0E"/>
    <w:rsid w:val="00F57971"/>
    <w:rsid w:val="00F658F7"/>
    <w:rsid w:val="00F66B22"/>
    <w:rsid w:val="00F67928"/>
    <w:rsid w:val="00F73CEF"/>
    <w:rsid w:val="00F933A7"/>
    <w:rsid w:val="00FA227A"/>
    <w:rsid w:val="00FA4B92"/>
    <w:rsid w:val="00FA5C7A"/>
    <w:rsid w:val="00FE7A4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5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52A5"/>
    <w:pPr>
      <w:ind w:left="720"/>
      <w:contextualSpacing/>
    </w:pPr>
  </w:style>
  <w:style w:type="paragraph" w:styleId="Header">
    <w:name w:val="header"/>
    <w:basedOn w:val="Normal"/>
    <w:link w:val="HeaderChar"/>
    <w:uiPriority w:val="99"/>
    <w:rsid w:val="00703EF8"/>
    <w:pPr>
      <w:tabs>
        <w:tab w:val="center" w:pos="4153"/>
        <w:tab w:val="right" w:pos="8306"/>
      </w:tabs>
    </w:pPr>
  </w:style>
  <w:style w:type="character" w:customStyle="1" w:styleId="HeaderChar">
    <w:name w:val="Header Char"/>
    <w:basedOn w:val="DefaultParagraphFont"/>
    <w:link w:val="Header"/>
    <w:uiPriority w:val="99"/>
    <w:semiHidden/>
    <w:locked/>
    <w:rsid w:val="00501B00"/>
    <w:rPr>
      <w:rFonts w:ascii="Times New Roman" w:hAnsi="Times New Roman" w:cs="Times New Roman"/>
      <w:sz w:val="24"/>
      <w:szCs w:val="24"/>
    </w:rPr>
  </w:style>
  <w:style w:type="paragraph" w:styleId="Footer">
    <w:name w:val="footer"/>
    <w:basedOn w:val="Normal"/>
    <w:link w:val="FooterChar"/>
    <w:uiPriority w:val="99"/>
    <w:rsid w:val="00703EF8"/>
    <w:pPr>
      <w:tabs>
        <w:tab w:val="center" w:pos="4153"/>
        <w:tab w:val="right" w:pos="8306"/>
      </w:tabs>
    </w:pPr>
  </w:style>
  <w:style w:type="character" w:customStyle="1" w:styleId="FooterChar">
    <w:name w:val="Footer Char"/>
    <w:basedOn w:val="DefaultParagraphFont"/>
    <w:link w:val="Footer"/>
    <w:uiPriority w:val="99"/>
    <w:semiHidden/>
    <w:locked/>
    <w:rsid w:val="00501B00"/>
    <w:rPr>
      <w:rFonts w:ascii="Times New Roman" w:hAnsi="Times New Roman" w:cs="Times New Roman"/>
      <w:sz w:val="24"/>
      <w:szCs w:val="24"/>
    </w:rPr>
  </w:style>
  <w:style w:type="character" w:styleId="PageNumber">
    <w:name w:val="page number"/>
    <w:basedOn w:val="DefaultParagraphFont"/>
    <w:uiPriority w:val="99"/>
    <w:rsid w:val="00703EF8"/>
    <w:rPr>
      <w:rFonts w:cs="Times New Roman"/>
    </w:rPr>
  </w:style>
  <w:style w:type="character" w:styleId="Hyperlink">
    <w:name w:val="Hyperlink"/>
    <w:basedOn w:val="DefaultParagraphFont"/>
    <w:uiPriority w:val="99"/>
    <w:rsid w:val="00E769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1943</Words>
  <Characters>11079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Pendleton Neighbourhood Panel, </dc:title>
  <dc:subject/>
  <dc:creator>monica</dc:creator>
  <cp:keywords/>
  <dc:description/>
  <cp:lastModifiedBy>cseclnealon</cp:lastModifiedBy>
  <cp:revision>2</cp:revision>
  <dcterms:created xsi:type="dcterms:W3CDTF">2011-01-04T16:04:00Z</dcterms:created>
  <dcterms:modified xsi:type="dcterms:W3CDTF">2011-01-04T16:04:00Z</dcterms:modified>
</cp:coreProperties>
</file>