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5B" w:rsidRDefault="0004415B" w:rsidP="00D63765">
      <w:pPr>
        <w:tabs>
          <w:tab w:val="right" w:leader="underscore" w:pos="9216"/>
        </w:tabs>
        <w:jc w:val="center"/>
        <w:outlineLvl w:val="0"/>
        <w:rPr>
          <w:b/>
        </w:rPr>
      </w:pPr>
      <w:r w:rsidRPr="003B107E">
        <w:rPr>
          <w:b/>
        </w:rPr>
        <w:t>Environment and Community Safety Directorate</w:t>
      </w:r>
    </w:p>
    <w:p w:rsidR="0004415B" w:rsidRDefault="0004415B" w:rsidP="003B107E">
      <w:pPr>
        <w:tabs>
          <w:tab w:val="right" w:leader="underscore" w:pos="9216"/>
        </w:tabs>
        <w:jc w:val="center"/>
        <w:rPr>
          <w:b/>
        </w:rPr>
      </w:pPr>
    </w:p>
    <w:p w:rsidR="0004415B" w:rsidRPr="003B107E" w:rsidRDefault="0004415B" w:rsidP="00D63765">
      <w:pPr>
        <w:tabs>
          <w:tab w:val="right" w:leader="underscore" w:pos="9216"/>
        </w:tabs>
        <w:jc w:val="center"/>
        <w:outlineLvl w:val="0"/>
        <w:rPr>
          <w:b/>
        </w:rPr>
      </w:pPr>
      <w:r>
        <w:rPr>
          <w:b/>
        </w:rPr>
        <w:t>Lead Member Briefing</w:t>
      </w:r>
    </w:p>
    <w:p w:rsidR="0004415B" w:rsidRDefault="0004415B" w:rsidP="009D5ED9">
      <w:pPr>
        <w:tabs>
          <w:tab w:val="right" w:leader="underscore" w:pos="921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3827"/>
        <w:gridCol w:w="3686"/>
      </w:tblGrid>
      <w:tr w:rsidR="0004415B" w:rsidTr="00DB74BC">
        <w:tc>
          <w:tcPr>
            <w:tcW w:w="1526" w:type="dxa"/>
          </w:tcPr>
          <w:p w:rsidR="0004415B" w:rsidRPr="00DB74BC" w:rsidRDefault="0004415B" w:rsidP="00DB74BC">
            <w:pPr>
              <w:tabs>
                <w:tab w:val="right" w:leader="underscore" w:pos="9216"/>
              </w:tabs>
              <w:rPr>
                <w:b/>
              </w:rPr>
            </w:pPr>
            <w:r w:rsidRPr="00DB74BC">
              <w:rPr>
                <w:b/>
              </w:rPr>
              <w:t>Report of:</w:t>
            </w:r>
          </w:p>
        </w:tc>
        <w:tc>
          <w:tcPr>
            <w:tcW w:w="7513" w:type="dxa"/>
            <w:gridSpan w:val="2"/>
          </w:tcPr>
          <w:p w:rsidR="0004415B" w:rsidRPr="004A7F84" w:rsidRDefault="0004415B" w:rsidP="00DB74BC">
            <w:pPr>
              <w:tabs>
                <w:tab w:val="right" w:leader="underscore" w:pos="9216"/>
              </w:tabs>
            </w:pPr>
            <w:r w:rsidRPr="004A7F84">
              <w:t>Strategic Director of Environment &amp; Community Safety</w:t>
            </w:r>
          </w:p>
          <w:p w:rsidR="0004415B" w:rsidRPr="004A7F84" w:rsidRDefault="0004415B" w:rsidP="00DB74BC">
            <w:pPr>
              <w:tabs>
                <w:tab w:val="right" w:leader="underscore" w:pos="9216"/>
              </w:tabs>
            </w:pPr>
          </w:p>
        </w:tc>
      </w:tr>
      <w:tr w:rsidR="0004415B" w:rsidTr="00DB74BC">
        <w:tc>
          <w:tcPr>
            <w:tcW w:w="1526" w:type="dxa"/>
          </w:tcPr>
          <w:p w:rsidR="0004415B" w:rsidRPr="00DB74BC" w:rsidRDefault="0004415B" w:rsidP="00DB74BC">
            <w:pPr>
              <w:tabs>
                <w:tab w:val="right" w:leader="underscore" w:pos="9216"/>
              </w:tabs>
              <w:rPr>
                <w:b/>
              </w:rPr>
            </w:pPr>
            <w:r w:rsidRPr="00DB74BC">
              <w:rPr>
                <w:b/>
              </w:rPr>
              <w:t>Report to:</w:t>
            </w:r>
          </w:p>
        </w:tc>
        <w:tc>
          <w:tcPr>
            <w:tcW w:w="7513" w:type="dxa"/>
            <w:gridSpan w:val="2"/>
          </w:tcPr>
          <w:p w:rsidR="0004415B" w:rsidRPr="004A7F84" w:rsidRDefault="0004415B" w:rsidP="00DB74BC">
            <w:pPr>
              <w:tabs>
                <w:tab w:val="right" w:leader="underscore" w:pos="9216"/>
              </w:tabs>
            </w:pPr>
            <w:r w:rsidRPr="004A7F84">
              <w:t xml:space="preserve">Lead Member </w:t>
            </w:r>
            <w:r>
              <w:t>for Environment</w:t>
            </w:r>
          </w:p>
          <w:p w:rsidR="0004415B" w:rsidRPr="004A7F84" w:rsidRDefault="0004415B" w:rsidP="00DB74BC">
            <w:pPr>
              <w:tabs>
                <w:tab w:val="right" w:leader="underscore" w:pos="9216"/>
              </w:tabs>
            </w:pPr>
          </w:p>
        </w:tc>
      </w:tr>
      <w:tr w:rsidR="0004415B" w:rsidTr="00DB74BC">
        <w:tc>
          <w:tcPr>
            <w:tcW w:w="1526" w:type="dxa"/>
          </w:tcPr>
          <w:p w:rsidR="0004415B" w:rsidRPr="00DB74BC" w:rsidRDefault="0004415B" w:rsidP="00DB74BC">
            <w:pPr>
              <w:tabs>
                <w:tab w:val="right" w:leader="underscore" w:pos="9216"/>
              </w:tabs>
              <w:rPr>
                <w:b/>
              </w:rPr>
            </w:pPr>
            <w:r w:rsidRPr="00DB74BC">
              <w:rPr>
                <w:b/>
              </w:rPr>
              <w:t>Meeting:</w:t>
            </w:r>
          </w:p>
          <w:p w:rsidR="0004415B" w:rsidRDefault="0004415B" w:rsidP="00DB74BC">
            <w:pPr>
              <w:tabs>
                <w:tab w:val="right" w:leader="underscore" w:pos="9216"/>
              </w:tabs>
            </w:pPr>
          </w:p>
        </w:tc>
        <w:tc>
          <w:tcPr>
            <w:tcW w:w="3827" w:type="dxa"/>
          </w:tcPr>
          <w:p w:rsidR="0004415B" w:rsidRPr="004A7F84" w:rsidRDefault="0004415B" w:rsidP="00DB74BC">
            <w:pPr>
              <w:tabs>
                <w:tab w:val="right" w:leader="underscore" w:pos="9216"/>
              </w:tabs>
            </w:pPr>
            <w:r w:rsidRPr="004A7F84">
              <w:t>Lead Member Briefing</w:t>
            </w:r>
          </w:p>
          <w:p w:rsidR="0004415B" w:rsidRPr="004A7F84" w:rsidRDefault="0004415B" w:rsidP="00DB74BC">
            <w:pPr>
              <w:tabs>
                <w:tab w:val="right" w:leader="underscore" w:pos="9216"/>
              </w:tabs>
            </w:pPr>
          </w:p>
        </w:tc>
        <w:tc>
          <w:tcPr>
            <w:tcW w:w="3686" w:type="dxa"/>
          </w:tcPr>
          <w:p w:rsidR="0004415B" w:rsidRPr="004A7F84" w:rsidRDefault="0004415B" w:rsidP="00DB74BC">
            <w:pPr>
              <w:tabs>
                <w:tab w:val="right" w:leader="underscore" w:pos="9216"/>
              </w:tabs>
            </w:pPr>
            <w:r w:rsidRPr="00DB74BC">
              <w:rPr>
                <w:b/>
              </w:rPr>
              <w:t>Date</w:t>
            </w:r>
            <w:r w:rsidRPr="004A7F84">
              <w:t xml:space="preserve">: </w:t>
            </w:r>
            <w:r>
              <w:t>5</w:t>
            </w:r>
            <w:r w:rsidRPr="00DB74BC">
              <w:rPr>
                <w:vertAlign w:val="superscript"/>
              </w:rPr>
              <w:t>th</w:t>
            </w:r>
            <w:r>
              <w:t xml:space="preserve"> December 2011</w:t>
            </w:r>
          </w:p>
        </w:tc>
      </w:tr>
      <w:tr w:rsidR="0004415B" w:rsidTr="00DB74BC">
        <w:tc>
          <w:tcPr>
            <w:tcW w:w="1526" w:type="dxa"/>
          </w:tcPr>
          <w:p w:rsidR="0004415B" w:rsidRPr="00DB74BC" w:rsidRDefault="0004415B" w:rsidP="00DB74BC">
            <w:pPr>
              <w:tabs>
                <w:tab w:val="right" w:leader="underscore" w:pos="9216"/>
              </w:tabs>
              <w:rPr>
                <w:b/>
              </w:rPr>
            </w:pPr>
            <w:r w:rsidRPr="00DB74BC">
              <w:rPr>
                <w:b/>
              </w:rPr>
              <w:t>Forward Plan:</w:t>
            </w:r>
          </w:p>
        </w:tc>
        <w:tc>
          <w:tcPr>
            <w:tcW w:w="7513" w:type="dxa"/>
            <w:gridSpan w:val="2"/>
          </w:tcPr>
          <w:p w:rsidR="0004415B" w:rsidRDefault="0004415B" w:rsidP="00DB74BC">
            <w:pPr>
              <w:tabs>
                <w:tab w:val="right" w:leader="underscore" w:pos="9216"/>
              </w:tabs>
            </w:pPr>
          </w:p>
        </w:tc>
      </w:tr>
    </w:tbl>
    <w:p w:rsidR="0004415B" w:rsidRDefault="0004415B" w:rsidP="009D5ED9">
      <w:pPr>
        <w:tabs>
          <w:tab w:val="right" w:leader="underscore" w:pos="9072"/>
        </w:tabs>
      </w:pPr>
    </w:p>
    <w:p w:rsidR="0004415B" w:rsidRDefault="0004415B" w:rsidP="00D63765">
      <w:pPr>
        <w:tabs>
          <w:tab w:val="left" w:pos="900"/>
          <w:tab w:val="right" w:leader="underscore" w:pos="9072"/>
        </w:tabs>
        <w:outlineLvl w:val="0"/>
      </w:pPr>
      <w:r>
        <w:t>TITLE Reduction in Service Provision by the Environmental Protection Team.</w:t>
      </w:r>
    </w:p>
    <w:p w:rsidR="0004415B" w:rsidRDefault="0004415B" w:rsidP="009D5ED9">
      <w:pPr>
        <w:tabs>
          <w:tab w:val="right" w:leader="underscore" w:pos="9072"/>
        </w:tabs>
      </w:pPr>
      <w:r>
        <w:tab/>
      </w:r>
    </w:p>
    <w:p w:rsidR="0004415B" w:rsidRDefault="0004415B" w:rsidP="009D5ED9">
      <w:pPr>
        <w:tabs>
          <w:tab w:val="right" w:leader="underscore" w:pos="9072"/>
        </w:tabs>
      </w:pPr>
    </w:p>
    <w:p w:rsidR="0004415B" w:rsidRDefault="0004415B" w:rsidP="0042110D">
      <w:pPr>
        <w:tabs>
          <w:tab w:val="left" w:pos="1080"/>
          <w:tab w:val="left" w:pos="2700"/>
          <w:tab w:val="right" w:leader="underscore" w:pos="9072"/>
        </w:tabs>
        <w:outlineLvl w:val="0"/>
      </w:pPr>
      <w:r>
        <w:t xml:space="preserve">RECOMMENDATION: </w:t>
      </w:r>
    </w:p>
    <w:p w:rsidR="0004415B" w:rsidRDefault="0004415B" w:rsidP="00507B95">
      <w:pPr>
        <w:pStyle w:val="ListParagraph"/>
        <w:numPr>
          <w:ilvl w:val="0"/>
          <w:numId w:val="20"/>
        </w:numPr>
        <w:tabs>
          <w:tab w:val="center" w:pos="4153"/>
          <w:tab w:val="right" w:pos="8306"/>
        </w:tabs>
      </w:pPr>
      <w:r>
        <w:t xml:space="preserve"> That Lead Member approves the proposal that the Environmental Protection will no longer respond to requests for service of the types set out in this report or respond to landlord licensing consultations issued by the Housing Section of the Strategic Regeneration Directorate.</w:t>
      </w:r>
    </w:p>
    <w:p w:rsidR="0004415B" w:rsidRDefault="0004415B" w:rsidP="004A0AAF">
      <w:pPr>
        <w:tabs>
          <w:tab w:val="center" w:pos="4153"/>
          <w:tab w:val="right" w:pos="8306"/>
        </w:tabs>
      </w:pPr>
    </w:p>
    <w:p w:rsidR="0004415B" w:rsidRDefault="0004415B" w:rsidP="00507B95">
      <w:pPr>
        <w:pStyle w:val="ListParagraph"/>
        <w:numPr>
          <w:ilvl w:val="0"/>
          <w:numId w:val="20"/>
        </w:numPr>
        <w:tabs>
          <w:tab w:val="center" w:pos="4153"/>
          <w:tab w:val="right" w:pos="8306"/>
        </w:tabs>
      </w:pPr>
      <w:r>
        <w:t xml:space="preserve">That the Directorate refer individuals to information which is available on the Council web site or provide them with an electronic or hard copies in order to assist them in resolving their complaints. </w:t>
      </w:r>
    </w:p>
    <w:p w:rsidR="0004415B" w:rsidRDefault="0004415B" w:rsidP="009D5ED9">
      <w:pPr>
        <w:tabs>
          <w:tab w:val="right" w:leader="underscore" w:pos="9072"/>
        </w:tabs>
      </w:pPr>
      <w:r>
        <w:tab/>
      </w:r>
    </w:p>
    <w:p w:rsidR="0004415B" w:rsidRDefault="0004415B" w:rsidP="009D5ED9">
      <w:pPr>
        <w:tabs>
          <w:tab w:val="right" w:leader="underscore" w:pos="9072"/>
        </w:tabs>
      </w:pPr>
    </w:p>
    <w:p w:rsidR="0004415B" w:rsidRDefault="0004415B" w:rsidP="001D7E67">
      <w:pPr>
        <w:tabs>
          <w:tab w:val="left" w:pos="900"/>
          <w:tab w:val="right" w:leader="underscore" w:pos="9072"/>
        </w:tabs>
        <w:outlineLvl w:val="0"/>
      </w:pPr>
      <w:r>
        <w:t xml:space="preserve">EXECUTIVE SUMMARY:  </w:t>
      </w:r>
    </w:p>
    <w:p w:rsidR="0004415B" w:rsidRDefault="0004415B" w:rsidP="001D7E67">
      <w:pPr>
        <w:tabs>
          <w:tab w:val="left" w:pos="900"/>
          <w:tab w:val="right" w:leader="underscore" w:pos="9072"/>
        </w:tabs>
        <w:outlineLvl w:val="0"/>
        <w:rPr>
          <w:rFonts w:cs="Arial"/>
          <w:bCs/>
        </w:rPr>
      </w:pPr>
      <w:r>
        <w:rPr>
          <w:rFonts w:cs="Arial"/>
          <w:bCs/>
        </w:rPr>
        <w:t>As part of the 2011/12 budget savings exercise 1.5 posts were deleted from the Environmental Protection team. The team is no longer able to undertake any proactive work in relation to contaminated land and are unable to respond to the same number of requests for service that it had done previously.</w:t>
      </w:r>
    </w:p>
    <w:p w:rsidR="0004415B" w:rsidRDefault="0004415B" w:rsidP="001D7E67">
      <w:pPr>
        <w:tabs>
          <w:tab w:val="left" w:pos="900"/>
          <w:tab w:val="right" w:leader="underscore" w:pos="9072"/>
        </w:tabs>
        <w:outlineLvl w:val="0"/>
        <w:rPr>
          <w:rFonts w:cs="Arial"/>
          <w:bCs/>
        </w:rPr>
      </w:pPr>
      <w:r>
        <w:rPr>
          <w:rFonts w:cs="Arial"/>
          <w:bCs/>
        </w:rPr>
        <w:t xml:space="preserve"> </w:t>
      </w:r>
    </w:p>
    <w:p w:rsidR="0004415B" w:rsidRDefault="0004415B" w:rsidP="001D7E67">
      <w:pPr>
        <w:tabs>
          <w:tab w:val="left" w:pos="900"/>
          <w:tab w:val="right" w:leader="underscore" w:pos="9072"/>
        </w:tabs>
        <w:outlineLvl w:val="0"/>
        <w:rPr>
          <w:rFonts w:cs="Arial"/>
          <w:bCs/>
        </w:rPr>
      </w:pPr>
      <w:r>
        <w:rPr>
          <w:rFonts w:cs="Arial"/>
          <w:bCs/>
        </w:rPr>
        <w:t>The Service Manager has reviewed the various categories of complaint and request for service received by the team to identify reductions in service provision which would have the least impact on the community.</w:t>
      </w:r>
    </w:p>
    <w:p w:rsidR="0004415B" w:rsidRDefault="0004415B" w:rsidP="009D5ED9">
      <w:pPr>
        <w:tabs>
          <w:tab w:val="right" w:leader="underscore" w:pos="9072"/>
        </w:tabs>
      </w:pPr>
      <w:r>
        <w:tab/>
      </w:r>
    </w:p>
    <w:p w:rsidR="0004415B" w:rsidRDefault="0004415B" w:rsidP="009D5ED9">
      <w:pPr>
        <w:tabs>
          <w:tab w:val="right" w:leader="underscore" w:pos="9072"/>
        </w:tabs>
      </w:pPr>
    </w:p>
    <w:p w:rsidR="0004415B" w:rsidRDefault="0004415B" w:rsidP="00054EE2">
      <w:pPr>
        <w:tabs>
          <w:tab w:val="left" w:pos="3690"/>
          <w:tab w:val="right" w:leader="underscore" w:pos="9072"/>
        </w:tabs>
        <w:ind w:left="3600" w:hanging="3600"/>
        <w:outlineLvl w:val="0"/>
      </w:pPr>
      <w:r>
        <w:t>BACKGROUND DOCUMENTS:</w:t>
      </w:r>
      <w:r>
        <w:tab/>
        <w:t>None</w:t>
      </w:r>
    </w:p>
    <w:p w:rsidR="0004415B" w:rsidRDefault="0004415B" w:rsidP="009D5ED9">
      <w:pPr>
        <w:tabs>
          <w:tab w:val="right" w:leader="underscore" w:pos="9072"/>
        </w:tabs>
      </w:pPr>
      <w:r>
        <w:tab/>
      </w:r>
    </w:p>
    <w:p w:rsidR="0004415B" w:rsidRDefault="0004415B" w:rsidP="009D5ED9">
      <w:pPr>
        <w:tabs>
          <w:tab w:val="right" w:leader="underscore" w:pos="9072"/>
        </w:tabs>
      </w:pPr>
    </w:p>
    <w:p w:rsidR="0004415B" w:rsidRPr="00AA7370" w:rsidRDefault="0004415B" w:rsidP="005F1F8E">
      <w:pPr>
        <w:tabs>
          <w:tab w:val="left" w:pos="2250"/>
          <w:tab w:val="right" w:leader="underscore" w:pos="9072"/>
        </w:tabs>
        <w:rPr>
          <w:color w:val="FF0000"/>
        </w:rPr>
      </w:pPr>
      <w:r>
        <w:t>KEY DECISION:</w:t>
      </w:r>
      <w:r>
        <w:tab/>
        <w:t>Yes</w:t>
      </w:r>
    </w:p>
    <w:p w:rsidR="0004415B" w:rsidRDefault="0004415B" w:rsidP="009D5ED9">
      <w:pPr>
        <w:tabs>
          <w:tab w:val="right" w:leader="underscore" w:pos="9072"/>
        </w:tabs>
      </w:pPr>
      <w:r>
        <w:tab/>
      </w:r>
    </w:p>
    <w:p w:rsidR="0004415B" w:rsidRDefault="0004415B" w:rsidP="009D5ED9">
      <w:pPr>
        <w:tabs>
          <w:tab w:val="right" w:leader="underscore" w:pos="9072"/>
        </w:tabs>
      </w:pPr>
    </w:p>
    <w:p w:rsidR="0004415B" w:rsidRDefault="0004415B" w:rsidP="00D63765">
      <w:pPr>
        <w:tabs>
          <w:tab w:val="left" w:pos="1440"/>
          <w:tab w:val="right" w:leader="underscore" w:pos="9072"/>
        </w:tabs>
        <w:outlineLvl w:val="0"/>
      </w:pPr>
      <w:r>
        <w:t>DETAILS:</w:t>
      </w:r>
    </w:p>
    <w:p w:rsidR="0004415B" w:rsidRDefault="0004415B" w:rsidP="00695042">
      <w:pPr>
        <w:tabs>
          <w:tab w:val="left" w:pos="1440"/>
          <w:tab w:val="right" w:leader="underscore" w:pos="9072"/>
        </w:tabs>
      </w:pPr>
    </w:p>
    <w:p w:rsidR="0004415B" w:rsidRDefault="0004415B" w:rsidP="004A0AAF">
      <w:pPr>
        <w:numPr>
          <w:ilvl w:val="0"/>
          <w:numId w:val="8"/>
        </w:numPr>
        <w:rPr>
          <w:rFonts w:cs="Arial"/>
          <w:bCs/>
          <w:u w:val="single"/>
        </w:rPr>
      </w:pPr>
      <w:r>
        <w:rPr>
          <w:rFonts w:cs="Arial"/>
          <w:bCs/>
          <w:u w:val="single"/>
        </w:rPr>
        <w:t>Background</w:t>
      </w:r>
    </w:p>
    <w:p w:rsidR="0004415B" w:rsidRDefault="0004415B" w:rsidP="00550043">
      <w:pPr>
        <w:ind w:left="567"/>
        <w:rPr>
          <w:rFonts w:cs="Arial"/>
          <w:bCs/>
          <w:u w:val="single"/>
        </w:rPr>
      </w:pPr>
    </w:p>
    <w:p w:rsidR="0004415B" w:rsidRDefault="0004415B" w:rsidP="00F96D51">
      <w:pPr>
        <w:tabs>
          <w:tab w:val="left" w:pos="900"/>
          <w:tab w:val="right" w:leader="underscore" w:pos="9072"/>
        </w:tabs>
        <w:outlineLvl w:val="0"/>
        <w:rPr>
          <w:rFonts w:cs="Arial"/>
          <w:bCs/>
        </w:rPr>
      </w:pPr>
      <w:r>
        <w:rPr>
          <w:rFonts w:cs="Arial"/>
          <w:bCs/>
        </w:rPr>
        <w:t>As part of the 2011/12 budget savings exercise a decision was taken to delete 1.5 posts from the Environmental Protection team. The consequences of that decision have been that the team are no longer able to undertake any proactive work in relation to contaminated land. In addition there has been a need to prioritise workload in respect of the complaints and requests for services as the team are unable to respond to the same number of requests for service that it had done previously.</w:t>
      </w:r>
    </w:p>
    <w:p w:rsidR="0004415B" w:rsidRDefault="0004415B" w:rsidP="008A4E29">
      <w:pPr>
        <w:tabs>
          <w:tab w:val="left" w:pos="900"/>
          <w:tab w:val="right" w:leader="underscore" w:pos="9072"/>
        </w:tabs>
        <w:outlineLvl w:val="0"/>
        <w:rPr>
          <w:rFonts w:cs="Arial"/>
          <w:bCs/>
        </w:rPr>
      </w:pPr>
    </w:p>
    <w:p w:rsidR="0004415B" w:rsidRDefault="0004415B" w:rsidP="004C6045">
      <w:pPr>
        <w:tabs>
          <w:tab w:val="left" w:pos="900"/>
          <w:tab w:val="right" w:leader="underscore" w:pos="9072"/>
        </w:tabs>
        <w:outlineLvl w:val="0"/>
        <w:rPr>
          <w:rFonts w:cs="Arial"/>
          <w:bCs/>
        </w:rPr>
      </w:pPr>
      <w:r>
        <w:rPr>
          <w:rFonts w:cs="Arial"/>
          <w:bCs/>
        </w:rPr>
        <w:t>The Service Manager has reviewed the various categories of complaint and request for service received by the team to identify the areas of work which would have least impact if they were no longer carried out.</w:t>
      </w:r>
    </w:p>
    <w:p w:rsidR="0004415B" w:rsidRDefault="0004415B" w:rsidP="004C6045">
      <w:pPr>
        <w:tabs>
          <w:tab w:val="left" w:pos="900"/>
          <w:tab w:val="right" w:leader="underscore" w:pos="9072"/>
        </w:tabs>
        <w:outlineLvl w:val="0"/>
        <w:rPr>
          <w:rFonts w:cs="Arial"/>
          <w:bCs/>
        </w:rPr>
      </w:pPr>
    </w:p>
    <w:p w:rsidR="0004415B" w:rsidRDefault="0004415B" w:rsidP="004C6045">
      <w:pPr>
        <w:tabs>
          <w:tab w:val="left" w:pos="900"/>
          <w:tab w:val="right" w:leader="underscore" w:pos="9072"/>
        </w:tabs>
        <w:outlineLvl w:val="0"/>
        <w:rPr>
          <w:rFonts w:cs="Arial"/>
          <w:bCs/>
        </w:rPr>
      </w:pPr>
      <w:r>
        <w:rPr>
          <w:rFonts w:cs="Arial"/>
          <w:bCs/>
        </w:rPr>
        <w:t xml:space="preserve">Set out below is a table showing the proposed categories of complaint that the service will no longer respond to and also a briefing note to call centre staff as to how calls are to be dealt with. </w:t>
      </w:r>
    </w:p>
    <w:p w:rsidR="0004415B" w:rsidRDefault="0004415B" w:rsidP="004C6045">
      <w:pPr>
        <w:tabs>
          <w:tab w:val="left" w:pos="900"/>
          <w:tab w:val="right" w:leader="underscore" w:pos="9072"/>
        </w:tabs>
        <w:outlineLvl w:val="0"/>
        <w:rPr>
          <w:rFonts w:cs="Arial"/>
          <w:bCs/>
        </w:rPr>
      </w:pPr>
    </w:p>
    <w:p w:rsidR="0004415B" w:rsidRPr="00084970" w:rsidRDefault="0004415B" w:rsidP="004C6045">
      <w:pPr>
        <w:rPr>
          <w:szCs w:val="28"/>
          <w:u w:val="single"/>
        </w:rPr>
      </w:pPr>
      <w:r w:rsidRPr="00084970">
        <w:rPr>
          <w:szCs w:val="28"/>
          <w:u w:val="single"/>
        </w:rPr>
        <w:t>Proposed categories of complaint which will no longer be responded to by Environmental Protection</w:t>
      </w:r>
    </w:p>
    <w:p w:rsidR="0004415B" w:rsidRPr="004C6045" w:rsidRDefault="0004415B" w:rsidP="004C6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0"/>
        <w:gridCol w:w="1525"/>
      </w:tblGrid>
      <w:tr w:rsidR="0004415B" w:rsidRPr="004C6045" w:rsidTr="00DB74BC">
        <w:trPr>
          <w:trHeight w:val="360"/>
        </w:trPr>
        <w:tc>
          <w:tcPr>
            <w:tcW w:w="4810" w:type="dxa"/>
          </w:tcPr>
          <w:p w:rsidR="0004415B" w:rsidRPr="00DB74BC" w:rsidRDefault="0004415B" w:rsidP="00DB74BC">
            <w:pPr>
              <w:ind w:left="108"/>
              <w:rPr>
                <w:szCs w:val="28"/>
              </w:rPr>
            </w:pPr>
            <w:r w:rsidRPr="00DB74BC">
              <w:rPr>
                <w:szCs w:val="28"/>
              </w:rPr>
              <w:t>Category Codes</w:t>
            </w:r>
          </w:p>
        </w:tc>
        <w:tc>
          <w:tcPr>
            <w:tcW w:w="1412" w:type="dxa"/>
          </w:tcPr>
          <w:p w:rsidR="0004415B" w:rsidRPr="004C6045" w:rsidRDefault="0004415B" w:rsidP="00DB74BC">
            <w:pPr>
              <w:ind w:left="108"/>
            </w:pPr>
            <w:r w:rsidRPr="004C6045">
              <w:t>Complaints received 2010-11</w:t>
            </w:r>
          </w:p>
        </w:tc>
      </w:tr>
      <w:tr w:rsidR="0004415B" w:rsidRPr="004C6045" w:rsidTr="00DB74BC">
        <w:tblPrEx>
          <w:tblLook w:val="00A0"/>
        </w:tblPrEx>
        <w:trPr>
          <w:trHeight w:val="295"/>
        </w:trPr>
        <w:tc>
          <w:tcPr>
            <w:tcW w:w="4810" w:type="dxa"/>
            <w:noWrap/>
          </w:tcPr>
          <w:p w:rsidR="0004415B" w:rsidRPr="00DB74BC" w:rsidRDefault="0004415B" w:rsidP="00DB74BC">
            <w:pPr>
              <w:ind w:firstLineChars="100" w:firstLine="240"/>
              <w:rPr>
                <w:rFonts w:cs="Calibri"/>
                <w:bCs/>
                <w:color w:val="000000"/>
              </w:rPr>
            </w:pPr>
            <w:r w:rsidRPr="00DB74BC">
              <w:rPr>
                <w:rFonts w:cs="Calibri"/>
                <w:bCs/>
                <w:color w:val="000000"/>
              </w:rPr>
              <w:t>NNQ  Noise-DIY</w:t>
            </w:r>
          </w:p>
        </w:tc>
        <w:tc>
          <w:tcPr>
            <w:tcW w:w="1412" w:type="dxa"/>
            <w:vAlign w:val="center"/>
          </w:tcPr>
          <w:p w:rsidR="0004415B" w:rsidRPr="00DB74BC" w:rsidRDefault="0004415B" w:rsidP="00DB74BC">
            <w:pPr>
              <w:jc w:val="right"/>
              <w:rPr>
                <w:rFonts w:cs="Calibri"/>
                <w:bCs/>
                <w:color w:val="000000"/>
              </w:rPr>
            </w:pPr>
            <w:r w:rsidRPr="00DB74BC">
              <w:rPr>
                <w:rFonts w:cs="Calibri"/>
                <w:bCs/>
                <w:color w:val="000000"/>
              </w:rPr>
              <w:t>17</w:t>
            </w:r>
          </w:p>
        </w:tc>
      </w:tr>
      <w:tr w:rsidR="0004415B" w:rsidRPr="004C6045" w:rsidTr="00DB74BC">
        <w:tblPrEx>
          <w:tblLook w:val="00A0"/>
        </w:tblPrEx>
        <w:trPr>
          <w:trHeight w:val="295"/>
        </w:trPr>
        <w:tc>
          <w:tcPr>
            <w:tcW w:w="4810" w:type="dxa"/>
            <w:noWrap/>
          </w:tcPr>
          <w:p w:rsidR="0004415B" w:rsidRPr="00DB74BC" w:rsidRDefault="0004415B" w:rsidP="00DB74BC">
            <w:pPr>
              <w:ind w:firstLineChars="100" w:firstLine="240"/>
              <w:rPr>
                <w:rFonts w:cs="Calibri"/>
                <w:bCs/>
                <w:color w:val="000000"/>
              </w:rPr>
            </w:pPr>
            <w:r w:rsidRPr="00DB74BC">
              <w:rPr>
                <w:rFonts w:cs="Calibri"/>
                <w:bCs/>
                <w:color w:val="000000"/>
              </w:rPr>
              <w:t>NNR  Noise-Low frequency</w:t>
            </w:r>
          </w:p>
        </w:tc>
        <w:tc>
          <w:tcPr>
            <w:tcW w:w="1412" w:type="dxa"/>
            <w:vAlign w:val="center"/>
          </w:tcPr>
          <w:p w:rsidR="0004415B" w:rsidRPr="00DB74BC" w:rsidRDefault="0004415B" w:rsidP="00DB74BC">
            <w:pPr>
              <w:jc w:val="right"/>
              <w:rPr>
                <w:rFonts w:cs="Calibri"/>
                <w:bCs/>
                <w:color w:val="000000"/>
              </w:rPr>
            </w:pPr>
            <w:r w:rsidRPr="00DB74BC">
              <w:rPr>
                <w:rFonts w:cs="Calibri"/>
                <w:bCs/>
                <w:color w:val="000000"/>
              </w:rPr>
              <w:t>4</w:t>
            </w:r>
          </w:p>
        </w:tc>
      </w:tr>
      <w:tr w:rsidR="0004415B" w:rsidRPr="004C6045" w:rsidTr="00DB74BC">
        <w:tblPrEx>
          <w:tblLook w:val="00A0"/>
        </w:tblPrEx>
        <w:trPr>
          <w:trHeight w:val="295"/>
        </w:trPr>
        <w:tc>
          <w:tcPr>
            <w:tcW w:w="4810" w:type="dxa"/>
            <w:noWrap/>
          </w:tcPr>
          <w:p w:rsidR="0004415B" w:rsidRPr="00DB74BC" w:rsidRDefault="0004415B" w:rsidP="00DB74BC">
            <w:pPr>
              <w:ind w:firstLineChars="100" w:firstLine="240"/>
              <w:rPr>
                <w:rFonts w:cs="Calibri"/>
                <w:bCs/>
                <w:color w:val="000000"/>
              </w:rPr>
            </w:pPr>
            <w:r w:rsidRPr="00DB74BC">
              <w:rPr>
                <w:rFonts w:cs="Calibri"/>
                <w:bCs/>
                <w:color w:val="000000"/>
              </w:rPr>
              <w:t>N99  Request Advice/Info on Noise</w:t>
            </w:r>
          </w:p>
        </w:tc>
        <w:tc>
          <w:tcPr>
            <w:tcW w:w="1412" w:type="dxa"/>
            <w:vAlign w:val="center"/>
          </w:tcPr>
          <w:p w:rsidR="0004415B" w:rsidRPr="00DB74BC" w:rsidRDefault="0004415B" w:rsidP="00DB74BC">
            <w:pPr>
              <w:jc w:val="right"/>
              <w:rPr>
                <w:rFonts w:cs="Calibri"/>
                <w:bCs/>
                <w:color w:val="000000"/>
              </w:rPr>
            </w:pPr>
            <w:r w:rsidRPr="00DB74BC">
              <w:rPr>
                <w:rFonts w:cs="Calibri"/>
                <w:bCs/>
                <w:color w:val="000000"/>
              </w:rPr>
              <w:t>1</w:t>
            </w:r>
          </w:p>
        </w:tc>
      </w:tr>
      <w:tr w:rsidR="0004415B" w:rsidRPr="004C6045" w:rsidTr="00DB74BC">
        <w:tblPrEx>
          <w:tblLook w:val="00A0"/>
        </w:tblPrEx>
        <w:trPr>
          <w:trHeight w:val="295"/>
        </w:trPr>
        <w:tc>
          <w:tcPr>
            <w:tcW w:w="4810" w:type="dxa"/>
            <w:noWrap/>
          </w:tcPr>
          <w:p w:rsidR="0004415B" w:rsidRPr="00DB74BC" w:rsidRDefault="0004415B" w:rsidP="00DB74BC">
            <w:pPr>
              <w:ind w:firstLineChars="100" w:firstLine="240"/>
              <w:rPr>
                <w:rFonts w:cs="Calibri"/>
                <w:bCs/>
                <w:color w:val="000000"/>
              </w:rPr>
            </w:pPr>
            <w:r w:rsidRPr="00DB74BC">
              <w:rPr>
                <w:rFonts w:cs="Calibri"/>
                <w:bCs/>
                <w:color w:val="000000"/>
              </w:rPr>
              <w:t>NNB  Noise-Barking Dog</w:t>
            </w:r>
          </w:p>
        </w:tc>
        <w:tc>
          <w:tcPr>
            <w:tcW w:w="1412" w:type="dxa"/>
            <w:vAlign w:val="center"/>
          </w:tcPr>
          <w:p w:rsidR="0004415B" w:rsidRPr="00DB74BC" w:rsidRDefault="0004415B" w:rsidP="00DB74BC">
            <w:pPr>
              <w:jc w:val="right"/>
              <w:rPr>
                <w:rFonts w:cs="Calibri"/>
                <w:bCs/>
                <w:color w:val="000000"/>
              </w:rPr>
            </w:pPr>
            <w:r w:rsidRPr="00DB74BC">
              <w:rPr>
                <w:rFonts w:cs="Calibri"/>
                <w:bCs/>
                <w:color w:val="000000"/>
              </w:rPr>
              <w:t>206</w:t>
            </w:r>
          </w:p>
        </w:tc>
      </w:tr>
      <w:tr w:rsidR="0004415B" w:rsidRPr="004C6045" w:rsidTr="00DB74BC">
        <w:tblPrEx>
          <w:tblLook w:val="00A0"/>
        </w:tblPrEx>
        <w:trPr>
          <w:trHeight w:val="295"/>
        </w:trPr>
        <w:tc>
          <w:tcPr>
            <w:tcW w:w="4810" w:type="dxa"/>
            <w:noWrap/>
          </w:tcPr>
          <w:p w:rsidR="0004415B" w:rsidRPr="00DB74BC" w:rsidRDefault="0004415B" w:rsidP="00DB74BC">
            <w:pPr>
              <w:ind w:firstLineChars="100" w:firstLine="240"/>
              <w:rPr>
                <w:rFonts w:cs="Calibri"/>
                <w:bCs/>
                <w:color w:val="000000"/>
              </w:rPr>
            </w:pPr>
            <w:r w:rsidRPr="00DB74BC">
              <w:rPr>
                <w:rFonts w:cs="Calibri"/>
                <w:bCs/>
                <w:color w:val="000000"/>
              </w:rPr>
              <w:t>NNC  Noise-Other Animals and Birds</w:t>
            </w:r>
          </w:p>
        </w:tc>
        <w:tc>
          <w:tcPr>
            <w:tcW w:w="1412" w:type="dxa"/>
            <w:vAlign w:val="center"/>
          </w:tcPr>
          <w:p w:rsidR="0004415B" w:rsidRPr="00DB74BC" w:rsidRDefault="0004415B" w:rsidP="00DB74BC">
            <w:pPr>
              <w:jc w:val="right"/>
              <w:rPr>
                <w:rFonts w:cs="Calibri"/>
                <w:bCs/>
                <w:color w:val="000000"/>
              </w:rPr>
            </w:pPr>
            <w:r w:rsidRPr="00DB74BC">
              <w:rPr>
                <w:rFonts w:cs="Calibri"/>
                <w:bCs/>
                <w:color w:val="000000"/>
              </w:rPr>
              <w:t>11</w:t>
            </w:r>
          </w:p>
        </w:tc>
      </w:tr>
      <w:tr w:rsidR="0004415B" w:rsidRPr="004C6045" w:rsidTr="00DB74BC">
        <w:tblPrEx>
          <w:tblLook w:val="00A0"/>
        </w:tblPrEx>
        <w:trPr>
          <w:trHeight w:val="295"/>
        </w:trPr>
        <w:tc>
          <w:tcPr>
            <w:tcW w:w="4810" w:type="dxa"/>
            <w:noWrap/>
          </w:tcPr>
          <w:p w:rsidR="0004415B" w:rsidRPr="00DB74BC" w:rsidRDefault="0004415B" w:rsidP="00DB74BC">
            <w:pPr>
              <w:ind w:firstLineChars="100" w:firstLine="240"/>
              <w:rPr>
                <w:rFonts w:cs="Calibri"/>
                <w:bCs/>
                <w:color w:val="000000"/>
              </w:rPr>
            </w:pPr>
            <w:r w:rsidRPr="00DB74BC">
              <w:rPr>
                <w:rFonts w:cs="Calibri"/>
                <w:bCs/>
                <w:color w:val="000000"/>
              </w:rPr>
              <w:t>NND  Noise-Bells (e.g. Church/Phone)</w:t>
            </w:r>
          </w:p>
        </w:tc>
        <w:tc>
          <w:tcPr>
            <w:tcW w:w="1412" w:type="dxa"/>
            <w:vAlign w:val="center"/>
          </w:tcPr>
          <w:p w:rsidR="0004415B" w:rsidRPr="00DB74BC" w:rsidRDefault="0004415B" w:rsidP="00DB74BC">
            <w:pPr>
              <w:jc w:val="right"/>
              <w:rPr>
                <w:rFonts w:cs="Calibri"/>
                <w:bCs/>
                <w:color w:val="000000"/>
              </w:rPr>
            </w:pPr>
            <w:r w:rsidRPr="00DB74BC">
              <w:rPr>
                <w:rFonts w:cs="Calibri"/>
                <w:bCs/>
                <w:color w:val="000000"/>
              </w:rPr>
              <w:t>6</w:t>
            </w:r>
          </w:p>
        </w:tc>
      </w:tr>
      <w:tr w:rsidR="0004415B" w:rsidRPr="004C6045" w:rsidTr="00DB74BC">
        <w:tblPrEx>
          <w:tblLook w:val="00A0"/>
        </w:tblPrEx>
        <w:trPr>
          <w:trHeight w:val="295"/>
        </w:trPr>
        <w:tc>
          <w:tcPr>
            <w:tcW w:w="4810" w:type="dxa"/>
            <w:noWrap/>
          </w:tcPr>
          <w:p w:rsidR="0004415B" w:rsidRPr="00DB74BC" w:rsidRDefault="0004415B" w:rsidP="00DB74BC">
            <w:pPr>
              <w:ind w:firstLineChars="100" w:firstLine="240"/>
              <w:rPr>
                <w:rFonts w:cs="Calibri"/>
                <w:bCs/>
                <w:color w:val="000000"/>
              </w:rPr>
            </w:pPr>
            <w:r w:rsidRPr="00DB74BC">
              <w:rPr>
                <w:rFonts w:cs="Calibri"/>
                <w:bCs/>
                <w:color w:val="000000"/>
              </w:rPr>
              <w:t>NNE  Noise-Public Address Systems</w:t>
            </w:r>
          </w:p>
        </w:tc>
        <w:tc>
          <w:tcPr>
            <w:tcW w:w="1412" w:type="dxa"/>
            <w:vAlign w:val="center"/>
          </w:tcPr>
          <w:p w:rsidR="0004415B" w:rsidRPr="00DB74BC" w:rsidRDefault="0004415B" w:rsidP="00DB74BC">
            <w:pPr>
              <w:jc w:val="right"/>
              <w:rPr>
                <w:rFonts w:cs="Calibri"/>
                <w:bCs/>
                <w:color w:val="000000"/>
              </w:rPr>
            </w:pPr>
            <w:r w:rsidRPr="00DB74BC">
              <w:rPr>
                <w:rFonts w:cs="Calibri"/>
                <w:bCs/>
                <w:color w:val="000000"/>
              </w:rPr>
              <w:t>6</w:t>
            </w:r>
          </w:p>
        </w:tc>
      </w:tr>
      <w:tr w:rsidR="0004415B" w:rsidRPr="004C6045" w:rsidTr="00DB74BC">
        <w:tblPrEx>
          <w:tblLook w:val="00A0"/>
        </w:tblPrEx>
        <w:trPr>
          <w:trHeight w:val="295"/>
        </w:trPr>
        <w:tc>
          <w:tcPr>
            <w:tcW w:w="4810" w:type="dxa"/>
            <w:noWrap/>
          </w:tcPr>
          <w:p w:rsidR="0004415B" w:rsidRPr="00DB74BC" w:rsidRDefault="0004415B" w:rsidP="00DB74BC">
            <w:pPr>
              <w:ind w:firstLineChars="100" w:firstLine="240"/>
              <w:rPr>
                <w:rFonts w:cs="Calibri"/>
                <w:bCs/>
                <w:color w:val="000000"/>
              </w:rPr>
            </w:pPr>
            <w:r w:rsidRPr="00DB74BC">
              <w:rPr>
                <w:rFonts w:cs="Calibri"/>
                <w:bCs/>
                <w:color w:val="000000"/>
              </w:rPr>
              <w:t>H41  Nuisance empty property</w:t>
            </w:r>
          </w:p>
        </w:tc>
        <w:tc>
          <w:tcPr>
            <w:tcW w:w="1412" w:type="dxa"/>
            <w:vAlign w:val="center"/>
          </w:tcPr>
          <w:p w:rsidR="0004415B" w:rsidRPr="00DB74BC" w:rsidRDefault="0004415B" w:rsidP="00DB74BC">
            <w:pPr>
              <w:jc w:val="right"/>
              <w:rPr>
                <w:rFonts w:cs="Calibri"/>
                <w:bCs/>
                <w:color w:val="000000"/>
              </w:rPr>
            </w:pPr>
            <w:r w:rsidRPr="00DB74BC">
              <w:rPr>
                <w:rFonts w:cs="Calibri"/>
                <w:bCs/>
                <w:color w:val="000000"/>
              </w:rPr>
              <w:t>15</w:t>
            </w:r>
          </w:p>
        </w:tc>
      </w:tr>
      <w:tr w:rsidR="0004415B" w:rsidRPr="004C6045" w:rsidTr="00DB74BC">
        <w:tblPrEx>
          <w:tblLook w:val="00A0"/>
        </w:tblPrEx>
        <w:trPr>
          <w:trHeight w:val="295"/>
        </w:trPr>
        <w:tc>
          <w:tcPr>
            <w:tcW w:w="4810" w:type="dxa"/>
            <w:noWrap/>
          </w:tcPr>
          <w:p w:rsidR="0004415B" w:rsidRPr="00DB74BC" w:rsidRDefault="0004415B" w:rsidP="00DB74BC">
            <w:pPr>
              <w:ind w:firstLineChars="100" w:firstLine="240"/>
              <w:rPr>
                <w:rFonts w:cs="Calibri"/>
                <w:bCs/>
                <w:color w:val="000000"/>
              </w:rPr>
            </w:pPr>
            <w:r w:rsidRPr="00DB74BC">
              <w:rPr>
                <w:rFonts w:cs="Calibri"/>
                <w:bCs/>
                <w:color w:val="000000"/>
              </w:rPr>
              <w:t>H42  House general advice</w:t>
            </w:r>
          </w:p>
        </w:tc>
        <w:tc>
          <w:tcPr>
            <w:tcW w:w="1412" w:type="dxa"/>
            <w:vAlign w:val="center"/>
          </w:tcPr>
          <w:p w:rsidR="0004415B" w:rsidRPr="00DB74BC" w:rsidRDefault="0004415B" w:rsidP="00DB74BC">
            <w:pPr>
              <w:jc w:val="right"/>
              <w:rPr>
                <w:rFonts w:cs="Calibri"/>
                <w:bCs/>
                <w:color w:val="000000"/>
              </w:rPr>
            </w:pPr>
            <w:r w:rsidRPr="00DB74BC">
              <w:rPr>
                <w:rFonts w:cs="Calibri"/>
                <w:bCs/>
                <w:color w:val="000000"/>
              </w:rPr>
              <w:t>3</w:t>
            </w:r>
          </w:p>
        </w:tc>
      </w:tr>
      <w:tr w:rsidR="0004415B" w:rsidRPr="004C6045" w:rsidTr="00DB74BC">
        <w:tblPrEx>
          <w:tblLook w:val="00A0"/>
        </w:tblPrEx>
        <w:trPr>
          <w:trHeight w:val="295"/>
        </w:trPr>
        <w:tc>
          <w:tcPr>
            <w:tcW w:w="4810" w:type="dxa"/>
            <w:noWrap/>
          </w:tcPr>
          <w:p w:rsidR="0004415B" w:rsidRPr="00DB74BC" w:rsidRDefault="0004415B" w:rsidP="00DB74BC">
            <w:pPr>
              <w:ind w:firstLineChars="100" w:firstLine="240"/>
              <w:rPr>
                <w:rFonts w:cs="Calibri"/>
                <w:bCs/>
                <w:color w:val="000000"/>
              </w:rPr>
            </w:pPr>
            <w:r w:rsidRPr="00DB74BC">
              <w:rPr>
                <w:rFonts w:cs="Calibri"/>
                <w:bCs/>
                <w:color w:val="000000"/>
              </w:rPr>
              <w:t>D00  Other - Drainage</w:t>
            </w:r>
          </w:p>
        </w:tc>
        <w:tc>
          <w:tcPr>
            <w:tcW w:w="1412" w:type="dxa"/>
            <w:vAlign w:val="center"/>
          </w:tcPr>
          <w:p w:rsidR="0004415B" w:rsidRPr="00DB74BC" w:rsidRDefault="0004415B" w:rsidP="00DB74BC">
            <w:pPr>
              <w:jc w:val="right"/>
              <w:rPr>
                <w:rFonts w:cs="Calibri"/>
                <w:bCs/>
                <w:color w:val="000000"/>
              </w:rPr>
            </w:pPr>
            <w:r w:rsidRPr="00DB74BC">
              <w:rPr>
                <w:rFonts w:cs="Calibri"/>
                <w:bCs/>
                <w:color w:val="000000"/>
              </w:rPr>
              <w:t>4</w:t>
            </w:r>
          </w:p>
        </w:tc>
      </w:tr>
      <w:tr w:rsidR="0004415B" w:rsidRPr="004C6045" w:rsidTr="00DB74BC">
        <w:tblPrEx>
          <w:tblLook w:val="00A0"/>
        </w:tblPrEx>
        <w:trPr>
          <w:trHeight w:val="295"/>
        </w:trPr>
        <w:tc>
          <w:tcPr>
            <w:tcW w:w="4810" w:type="dxa"/>
            <w:noWrap/>
          </w:tcPr>
          <w:p w:rsidR="0004415B" w:rsidRPr="00DB74BC" w:rsidRDefault="0004415B" w:rsidP="00DB74BC">
            <w:pPr>
              <w:ind w:firstLineChars="100" w:firstLine="240"/>
              <w:rPr>
                <w:rFonts w:cs="Calibri"/>
                <w:bCs/>
                <w:color w:val="000000"/>
              </w:rPr>
            </w:pPr>
            <w:r w:rsidRPr="00DB74BC">
              <w:rPr>
                <w:rFonts w:cs="Calibri"/>
                <w:bCs/>
                <w:color w:val="000000"/>
              </w:rPr>
              <w:t xml:space="preserve">L06  Landlord Licensing Consultations </w:t>
            </w:r>
          </w:p>
          <w:p w:rsidR="0004415B" w:rsidRPr="00DB74BC" w:rsidRDefault="0004415B" w:rsidP="00DB74BC">
            <w:pPr>
              <w:ind w:firstLineChars="100" w:firstLine="240"/>
              <w:rPr>
                <w:rFonts w:cs="Calibri"/>
                <w:bCs/>
                <w:color w:val="000000"/>
              </w:rPr>
            </w:pPr>
            <w:r w:rsidRPr="00DB74BC">
              <w:rPr>
                <w:rFonts w:cs="Calibri"/>
                <w:bCs/>
                <w:color w:val="000000"/>
              </w:rPr>
              <w:t>(Strategic Regeneration)</w:t>
            </w:r>
          </w:p>
        </w:tc>
        <w:tc>
          <w:tcPr>
            <w:tcW w:w="1412" w:type="dxa"/>
            <w:vAlign w:val="center"/>
          </w:tcPr>
          <w:p w:rsidR="0004415B" w:rsidRPr="00DB74BC" w:rsidRDefault="0004415B" w:rsidP="00DB74BC">
            <w:pPr>
              <w:jc w:val="right"/>
              <w:rPr>
                <w:rFonts w:cs="Calibri"/>
                <w:bCs/>
                <w:color w:val="000000"/>
              </w:rPr>
            </w:pPr>
            <w:r w:rsidRPr="00DB74BC">
              <w:rPr>
                <w:rFonts w:cs="Calibri"/>
                <w:bCs/>
                <w:color w:val="000000"/>
              </w:rPr>
              <w:t>499</w:t>
            </w:r>
          </w:p>
        </w:tc>
      </w:tr>
      <w:tr w:rsidR="0004415B" w:rsidRPr="004C6045" w:rsidTr="00DB74BC">
        <w:trPr>
          <w:trHeight w:val="370"/>
        </w:trPr>
        <w:tc>
          <w:tcPr>
            <w:tcW w:w="2000" w:type="dxa"/>
          </w:tcPr>
          <w:p w:rsidR="0004415B" w:rsidRPr="004C6045" w:rsidRDefault="0004415B" w:rsidP="00FD2242">
            <w:r w:rsidRPr="004C6045">
              <w:t>Total</w:t>
            </w:r>
          </w:p>
        </w:tc>
        <w:tc>
          <w:tcPr>
            <w:tcW w:w="1412" w:type="dxa"/>
            <w:vAlign w:val="center"/>
          </w:tcPr>
          <w:p w:rsidR="0004415B" w:rsidRPr="004C6045" w:rsidRDefault="0004415B" w:rsidP="00DB74BC">
            <w:pPr>
              <w:jc w:val="right"/>
            </w:pPr>
            <w:r w:rsidRPr="004C6045">
              <w:t>772</w:t>
            </w:r>
          </w:p>
        </w:tc>
      </w:tr>
    </w:tbl>
    <w:p w:rsidR="0004415B" w:rsidRPr="004C6045" w:rsidRDefault="0004415B" w:rsidP="004C6045"/>
    <w:p w:rsidR="0004415B" w:rsidRDefault="0004415B" w:rsidP="004C6045"/>
    <w:p w:rsidR="0004415B" w:rsidRPr="003D0995" w:rsidRDefault="0004415B" w:rsidP="004C6045">
      <w:pPr>
        <w:rPr>
          <w:u w:val="single"/>
        </w:rPr>
      </w:pPr>
      <w:r w:rsidRPr="003D0995">
        <w:rPr>
          <w:u w:val="single"/>
        </w:rPr>
        <w:t xml:space="preserve">Proposed Brief to Call Centre Staff </w:t>
      </w:r>
    </w:p>
    <w:p w:rsidR="0004415B" w:rsidRPr="00227B29" w:rsidRDefault="0004415B" w:rsidP="004C6045">
      <w:pPr>
        <w:rPr>
          <w:b/>
          <w:u w:val="single"/>
        </w:rPr>
      </w:pPr>
    </w:p>
    <w:p w:rsidR="0004415B" w:rsidRDefault="0004415B" w:rsidP="004C6045">
      <w:r w:rsidRPr="004C6045">
        <w:t xml:space="preserve">The following procedure should be used when speaking to anyone </w:t>
      </w:r>
      <w:r>
        <w:t>seeking to make a complaint alleging nuisance of the following types:-</w:t>
      </w:r>
      <w:r w:rsidRPr="004C6045">
        <w:t xml:space="preserve"> </w:t>
      </w:r>
    </w:p>
    <w:p w:rsidR="0004415B" w:rsidRPr="004C6045" w:rsidRDefault="0004415B" w:rsidP="004C6045"/>
    <w:p w:rsidR="0004415B" w:rsidRPr="003D0995" w:rsidRDefault="0004415B" w:rsidP="004C6045">
      <w:pPr>
        <w:rPr>
          <w:rFonts w:cs="Calibri"/>
          <w:bCs/>
          <w:i/>
          <w:color w:val="000000"/>
          <w:szCs w:val="22"/>
          <w:u w:val="single"/>
        </w:rPr>
      </w:pPr>
      <w:r w:rsidRPr="003D0995">
        <w:rPr>
          <w:rFonts w:cs="Calibri"/>
          <w:bCs/>
          <w:i/>
          <w:color w:val="000000"/>
          <w:szCs w:val="22"/>
          <w:u w:val="single"/>
        </w:rPr>
        <w:t>Noise-DIY</w:t>
      </w:r>
    </w:p>
    <w:p w:rsidR="0004415B" w:rsidRPr="004C6045" w:rsidRDefault="0004415B" w:rsidP="004C6045"/>
    <w:p w:rsidR="0004415B" w:rsidRPr="004C6045" w:rsidRDefault="0004415B" w:rsidP="004C6045">
      <w:pPr>
        <w:pStyle w:val="ListParagraph"/>
        <w:numPr>
          <w:ilvl w:val="0"/>
          <w:numId w:val="17"/>
        </w:numPr>
        <w:contextualSpacing/>
      </w:pPr>
      <w:r w:rsidRPr="004C6045">
        <w:t xml:space="preserve">The team will not investigate DIY noise from domestic premises unless </w:t>
      </w:r>
    </w:p>
    <w:p w:rsidR="0004415B" w:rsidRPr="004C6045" w:rsidRDefault="0004415B" w:rsidP="004C6045">
      <w:pPr>
        <w:pStyle w:val="ListParagraph"/>
        <w:numPr>
          <w:ilvl w:val="1"/>
          <w:numId w:val="17"/>
        </w:numPr>
        <w:contextualSpacing/>
      </w:pPr>
      <w:r w:rsidRPr="004C6045">
        <w:t>it has been ongoing for 4 weeks or more and or</w:t>
      </w:r>
    </w:p>
    <w:p w:rsidR="0004415B" w:rsidRPr="004C6045" w:rsidRDefault="0004415B" w:rsidP="004C6045">
      <w:pPr>
        <w:pStyle w:val="ListParagraph"/>
        <w:numPr>
          <w:ilvl w:val="1"/>
          <w:numId w:val="17"/>
        </w:numPr>
        <w:contextualSpacing/>
      </w:pPr>
      <w:r w:rsidRPr="004C6045">
        <w:t>is undertaken between the hours of 21:00 to 08:00</w:t>
      </w:r>
    </w:p>
    <w:p w:rsidR="0004415B" w:rsidRPr="004C6045" w:rsidRDefault="0004415B" w:rsidP="004C6045">
      <w:pPr>
        <w:ind w:left="1080"/>
      </w:pPr>
    </w:p>
    <w:p w:rsidR="0004415B" w:rsidRPr="004C6045" w:rsidRDefault="0004415B" w:rsidP="004C6045">
      <w:pPr>
        <w:ind w:left="360"/>
      </w:pPr>
      <w:r>
        <w:t>Call Centre staff should</w:t>
      </w:r>
      <w:r w:rsidRPr="004C6045">
        <w:t xml:space="preserve"> obtain the following details: </w:t>
      </w:r>
    </w:p>
    <w:p w:rsidR="0004415B" w:rsidRPr="004C6045" w:rsidRDefault="0004415B" w:rsidP="004C6045">
      <w:pPr>
        <w:pStyle w:val="ListParagraph"/>
        <w:numPr>
          <w:ilvl w:val="1"/>
          <w:numId w:val="17"/>
        </w:numPr>
        <w:contextualSpacing/>
      </w:pPr>
      <w:r w:rsidRPr="004C6045">
        <w:t xml:space="preserve">what type of DIY noise is causing the problem, </w:t>
      </w:r>
    </w:p>
    <w:p w:rsidR="0004415B" w:rsidRPr="004C6045" w:rsidRDefault="0004415B" w:rsidP="004C6045">
      <w:pPr>
        <w:pStyle w:val="ListParagraph"/>
        <w:numPr>
          <w:ilvl w:val="1"/>
          <w:numId w:val="17"/>
        </w:numPr>
        <w:contextualSpacing/>
      </w:pPr>
      <w:r w:rsidRPr="004C6045">
        <w:t xml:space="preserve">what time of day is the noise created </w:t>
      </w:r>
    </w:p>
    <w:p w:rsidR="0004415B" w:rsidRPr="004C6045" w:rsidRDefault="0004415B" w:rsidP="004C6045">
      <w:pPr>
        <w:pStyle w:val="ListParagraph"/>
        <w:numPr>
          <w:ilvl w:val="1"/>
          <w:numId w:val="17"/>
        </w:numPr>
        <w:contextualSpacing/>
      </w:pPr>
      <w:r w:rsidRPr="004C6045">
        <w:t>how long does the noise last</w:t>
      </w:r>
    </w:p>
    <w:p w:rsidR="0004415B" w:rsidRPr="004C6045" w:rsidRDefault="0004415B" w:rsidP="004C6045">
      <w:pPr>
        <w:pStyle w:val="ListParagraph"/>
        <w:numPr>
          <w:ilvl w:val="1"/>
          <w:numId w:val="17"/>
        </w:numPr>
        <w:contextualSpacing/>
      </w:pPr>
      <w:r w:rsidRPr="004C6045">
        <w:t>how long has the DIY been going on</w:t>
      </w:r>
    </w:p>
    <w:p w:rsidR="0004415B" w:rsidRPr="004C6045" w:rsidRDefault="0004415B" w:rsidP="004C6045">
      <w:pPr>
        <w:ind w:left="1080"/>
      </w:pPr>
    </w:p>
    <w:p w:rsidR="0004415B" w:rsidRPr="004C6045" w:rsidRDefault="0004415B" w:rsidP="004C6045">
      <w:pPr>
        <w:pStyle w:val="ListParagraph"/>
        <w:numPr>
          <w:ilvl w:val="0"/>
          <w:numId w:val="17"/>
        </w:numPr>
        <w:contextualSpacing/>
      </w:pPr>
      <w:r>
        <w:t>Unless the noise is an ongoing problem a</w:t>
      </w:r>
      <w:r w:rsidRPr="004C6045">
        <w:t>dvise the complainant that they are able to take their own action under Environmental Protection Act 1990 and offer to send them information in the post or by email.</w:t>
      </w:r>
    </w:p>
    <w:p w:rsidR="0004415B" w:rsidRPr="004C6045" w:rsidRDefault="0004415B" w:rsidP="004C6045">
      <w:pPr>
        <w:ind w:left="1080"/>
      </w:pPr>
    </w:p>
    <w:p w:rsidR="0004415B" w:rsidRPr="003D0995" w:rsidRDefault="0004415B" w:rsidP="004C6045">
      <w:pPr>
        <w:pStyle w:val="ListParagraph"/>
        <w:ind w:left="0"/>
        <w:rPr>
          <w:rFonts w:cs="Calibri"/>
          <w:bCs/>
          <w:i/>
          <w:color w:val="000000"/>
          <w:szCs w:val="22"/>
          <w:u w:val="single"/>
        </w:rPr>
      </w:pPr>
      <w:r w:rsidRPr="003D0995">
        <w:rPr>
          <w:rFonts w:cs="Calibri"/>
          <w:bCs/>
          <w:i/>
          <w:color w:val="000000"/>
          <w:szCs w:val="22"/>
          <w:u w:val="single"/>
        </w:rPr>
        <w:t>Low frequency</w:t>
      </w:r>
      <w:r w:rsidRPr="00F317B1">
        <w:rPr>
          <w:rFonts w:cs="Calibri"/>
          <w:bCs/>
          <w:i/>
          <w:color w:val="000000"/>
          <w:szCs w:val="22"/>
          <w:u w:val="single"/>
        </w:rPr>
        <w:t xml:space="preserve"> </w:t>
      </w:r>
      <w:r w:rsidRPr="003D0995">
        <w:rPr>
          <w:rFonts w:cs="Calibri"/>
          <w:bCs/>
          <w:i/>
          <w:color w:val="000000"/>
          <w:szCs w:val="22"/>
          <w:u w:val="single"/>
        </w:rPr>
        <w:t>Noise</w:t>
      </w:r>
    </w:p>
    <w:p w:rsidR="0004415B" w:rsidRPr="004C6045" w:rsidRDefault="0004415B" w:rsidP="004C6045">
      <w:pPr>
        <w:pStyle w:val="ListParagraph"/>
        <w:ind w:left="0"/>
        <w:rPr>
          <w:rFonts w:cs="Calibri"/>
          <w:bCs/>
          <w:color w:val="000000"/>
          <w:szCs w:val="22"/>
          <w:u w:val="single"/>
        </w:rPr>
      </w:pPr>
    </w:p>
    <w:p w:rsidR="0004415B" w:rsidRPr="004C6045" w:rsidRDefault="0004415B" w:rsidP="004C6045">
      <w:pPr>
        <w:pStyle w:val="ListParagraph"/>
        <w:ind w:left="0"/>
      </w:pPr>
      <w:r w:rsidRPr="004C6045">
        <w:t xml:space="preserve">The team will no longer investigate </w:t>
      </w:r>
      <w:r>
        <w:t>l</w:t>
      </w:r>
      <w:r w:rsidRPr="004C6045">
        <w:t>ow frequency noise such as a hum that is coming from neighbouring domestic premises, especially when other people find difficulty hearing it.  However it will investigate extensive measurable low frequency noise from commercial or industrial processes that are affecting a large number of people.</w:t>
      </w:r>
    </w:p>
    <w:p w:rsidR="0004415B" w:rsidRPr="004C6045" w:rsidRDefault="0004415B" w:rsidP="004C6045">
      <w:pPr>
        <w:pStyle w:val="ListParagraph"/>
        <w:ind w:left="0"/>
      </w:pPr>
    </w:p>
    <w:p w:rsidR="0004415B" w:rsidRPr="004C6045" w:rsidRDefault="0004415B" w:rsidP="004C6045">
      <w:pPr>
        <w:pStyle w:val="ListParagraph"/>
        <w:numPr>
          <w:ilvl w:val="0"/>
          <w:numId w:val="19"/>
        </w:numPr>
        <w:contextualSpacing/>
      </w:pPr>
      <w:r w:rsidRPr="004C6045">
        <w:t>When determining if a complaint from members of the public will be investigated by the team the following information must be obtained.</w:t>
      </w:r>
    </w:p>
    <w:p w:rsidR="0004415B" w:rsidRPr="004C6045" w:rsidRDefault="0004415B" w:rsidP="004C6045">
      <w:pPr>
        <w:pStyle w:val="ListParagraph"/>
        <w:ind w:left="0"/>
      </w:pPr>
    </w:p>
    <w:p w:rsidR="0004415B" w:rsidRPr="004C6045" w:rsidRDefault="0004415B" w:rsidP="004C6045">
      <w:pPr>
        <w:pStyle w:val="ListParagraph"/>
        <w:numPr>
          <w:ilvl w:val="0"/>
          <w:numId w:val="18"/>
        </w:numPr>
        <w:contextualSpacing/>
      </w:pPr>
      <w:r w:rsidRPr="004C6045">
        <w:t>What does it sound like</w:t>
      </w:r>
      <w:r>
        <w:t>?</w:t>
      </w:r>
    </w:p>
    <w:p w:rsidR="0004415B" w:rsidRPr="004C6045" w:rsidRDefault="0004415B" w:rsidP="004C6045">
      <w:pPr>
        <w:pStyle w:val="ListParagraph"/>
        <w:numPr>
          <w:ilvl w:val="0"/>
          <w:numId w:val="18"/>
        </w:numPr>
        <w:contextualSpacing/>
      </w:pPr>
      <w:r w:rsidRPr="004C6045">
        <w:t>The origin of the noise.  Is it from a factory, commercial premises or residential premises?</w:t>
      </w:r>
    </w:p>
    <w:p w:rsidR="0004415B" w:rsidRPr="004C6045" w:rsidRDefault="0004415B" w:rsidP="004C6045">
      <w:pPr>
        <w:pStyle w:val="ListParagraph"/>
        <w:numPr>
          <w:ilvl w:val="0"/>
          <w:numId w:val="18"/>
        </w:numPr>
        <w:contextualSpacing/>
      </w:pPr>
      <w:r w:rsidRPr="004C6045">
        <w:t>Can anyone else hear it</w:t>
      </w:r>
      <w:r>
        <w:t>?</w:t>
      </w:r>
    </w:p>
    <w:p w:rsidR="0004415B" w:rsidRPr="004C6045" w:rsidRDefault="0004415B" w:rsidP="004C6045">
      <w:pPr>
        <w:pStyle w:val="ListParagraph"/>
        <w:numPr>
          <w:ilvl w:val="0"/>
          <w:numId w:val="18"/>
        </w:numPr>
        <w:contextualSpacing/>
      </w:pPr>
      <w:r w:rsidRPr="004C6045">
        <w:t>What effect is it having on the complainant</w:t>
      </w:r>
      <w:r>
        <w:t>?</w:t>
      </w:r>
    </w:p>
    <w:p w:rsidR="0004415B" w:rsidRPr="004C6045" w:rsidRDefault="0004415B" w:rsidP="004C6045">
      <w:pPr>
        <w:pStyle w:val="ListParagraph"/>
        <w:numPr>
          <w:ilvl w:val="0"/>
          <w:numId w:val="18"/>
        </w:numPr>
        <w:contextualSpacing/>
      </w:pPr>
      <w:r w:rsidRPr="004C6045">
        <w:t>What time of day does it happen</w:t>
      </w:r>
      <w:r>
        <w:t>?</w:t>
      </w:r>
    </w:p>
    <w:p w:rsidR="0004415B" w:rsidRPr="004C6045" w:rsidRDefault="0004415B" w:rsidP="004C6045">
      <w:pPr>
        <w:pStyle w:val="ListParagraph"/>
        <w:numPr>
          <w:ilvl w:val="0"/>
          <w:numId w:val="18"/>
        </w:numPr>
        <w:contextualSpacing/>
      </w:pPr>
      <w:r w:rsidRPr="004C6045">
        <w:t>Is it continuous</w:t>
      </w:r>
      <w:r>
        <w:t>?</w:t>
      </w:r>
    </w:p>
    <w:p w:rsidR="0004415B" w:rsidRPr="004C6045" w:rsidRDefault="0004415B" w:rsidP="004C6045">
      <w:pPr>
        <w:pStyle w:val="ListParagraph"/>
        <w:numPr>
          <w:ilvl w:val="0"/>
          <w:numId w:val="18"/>
        </w:numPr>
        <w:contextualSpacing/>
      </w:pPr>
      <w:r w:rsidRPr="004C6045">
        <w:t>Can it be heard outside their home</w:t>
      </w:r>
      <w:r>
        <w:t>?</w:t>
      </w:r>
    </w:p>
    <w:p w:rsidR="0004415B" w:rsidRPr="004C6045" w:rsidRDefault="0004415B" w:rsidP="004C6045"/>
    <w:p w:rsidR="0004415B" w:rsidRPr="004C6045" w:rsidRDefault="0004415B" w:rsidP="004C6045">
      <w:pPr>
        <w:pStyle w:val="ListParagraph"/>
        <w:numPr>
          <w:ilvl w:val="0"/>
          <w:numId w:val="19"/>
        </w:numPr>
        <w:contextualSpacing/>
      </w:pPr>
      <w:r w:rsidRPr="004C6045">
        <w:t>The team will not investigate low frequency noise from neighbouring residential premises.  Advise</w:t>
      </w:r>
      <w:r>
        <w:t xml:space="preserve"> </w:t>
      </w:r>
      <w:r w:rsidRPr="004C6045">
        <w:t xml:space="preserve">the complainant that they should firstly speak to their neighbour, as it might be a domestic appliance such as a refrigerator that needs to be re-positioned.  If the occupiers of the neighbouring premises are not willing to help and resolve the matter advise the complainant that they can take their own action under </w:t>
      </w:r>
      <w:r>
        <w:t xml:space="preserve">the </w:t>
      </w:r>
      <w:r w:rsidRPr="004C6045">
        <w:t>E</w:t>
      </w:r>
      <w:r>
        <w:t xml:space="preserve">nvironmental </w:t>
      </w:r>
      <w:r w:rsidRPr="004C6045">
        <w:t>P</w:t>
      </w:r>
      <w:r>
        <w:t xml:space="preserve">rotection </w:t>
      </w:r>
      <w:r w:rsidRPr="004C6045">
        <w:t>A</w:t>
      </w:r>
      <w:r>
        <w:t>ct</w:t>
      </w:r>
      <w:r w:rsidRPr="004C6045">
        <w:t xml:space="preserve"> 1990 and offer to forward information either by post or by email. </w:t>
      </w:r>
    </w:p>
    <w:p w:rsidR="0004415B" w:rsidRPr="004C6045" w:rsidRDefault="0004415B" w:rsidP="004C6045">
      <w:pPr>
        <w:ind w:left="360"/>
      </w:pPr>
    </w:p>
    <w:p w:rsidR="0004415B" w:rsidRPr="003D0995" w:rsidRDefault="0004415B" w:rsidP="004C6045">
      <w:pPr>
        <w:rPr>
          <w:rFonts w:cs="Calibri"/>
          <w:bCs/>
          <w:i/>
          <w:color w:val="000000"/>
          <w:szCs w:val="22"/>
          <w:u w:val="single"/>
        </w:rPr>
      </w:pPr>
      <w:r w:rsidRPr="003D0995">
        <w:rPr>
          <w:rFonts w:cs="Calibri"/>
          <w:bCs/>
          <w:i/>
          <w:color w:val="000000"/>
          <w:szCs w:val="22"/>
          <w:u w:val="single"/>
        </w:rPr>
        <w:t>Request Advice/Information on Noise</w:t>
      </w:r>
    </w:p>
    <w:p w:rsidR="0004415B" w:rsidRPr="004C6045" w:rsidRDefault="0004415B" w:rsidP="004C6045">
      <w:pPr>
        <w:rPr>
          <w:rFonts w:cs="Calibri"/>
          <w:bCs/>
          <w:color w:val="000000"/>
          <w:szCs w:val="22"/>
          <w:u w:val="single"/>
        </w:rPr>
      </w:pPr>
    </w:p>
    <w:p w:rsidR="0004415B" w:rsidRPr="004C6045" w:rsidRDefault="0004415B" w:rsidP="004C6045">
      <w:pPr>
        <w:rPr>
          <w:rFonts w:cs="Calibri"/>
          <w:bCs/>
          <w:color w:val="000000"/>
          <w:szCs w:val="22"/>
        </w:rPr>
      </w:pPr>
      <w:r w:rsidRPr="004C6045">
        <w:rPr>
          <w:rFonts w:cs="Calibri"/>
          <w:bCs/>
          <w:color w:val="000000"/>
          <w:szCs w:val="22"/>
        </w:rPr>
        <w:t>Direct any enquires requesting advice and information on noise to the website.  If the enquirer has an issue with noise and wishes to make a complaint then we will be willing to investigate unless it fits within the categories above, in which case these notes apply.</w:t>
      </w:r>
    </w:p>
    <w:p w:rsidR="0004415B" w:rsidRPr="004C6045" w:rsidRDefault="0004415B" w:rsidP="004C6045">
      <w:pPr>
        <w:rPr>
          <w:rFonts w:cs="Calibri"/>
          <w:bCs/>
          <w:color w:val="000000"/>
          <w:szCs w:val="22"/>
        </w:rPr>
      </w:pPr>
    </w:p>
    <w:p w:rsidR="0004415B" w:rsidRPr="003D0995" w:rsidRDefault="0004415B" w:rsidP="004C6045">
      <w:pPr>
        <w:rPr>
          <w:rFonts w:cs="Calibri"/>
          <w:bCs/>
          <w:i/>
          <w:color w:val="000000"/>
          <w:szCs w:val="22"/>
          <w:u w:val="single"/>
        </w:rPr>
      </w:pPr>
      <w:r w:rsidRPr="003D0995">
        <w:rPr>
          <w:rFonts w:cs="Calibri"/>
          <w:bCs/>
          <w:i/>
          <w:color w:val="000000"/>
          <w:szCs w:val="22"/>
          <w:u w:val="single"/>
        </w:rPr>
        <w:t>Noise -Barking Dogs</w:t>
      </w:r>
    </w:p>
    <w:p w:rsidR="0004415B" w:rsidRPr="004C6045" w:rsidRDefault="0004415B" w:rsidP="004C6045">
      <w:pPr>
        <w:rPr>
          <w:rFonts w:cs="Calibri"/>
          <w:bCs/>
          <w:color w:val="000000"/>
          <w:szCs w:val="22"/>
          <w:u w:val="single"/>
        </w:rPr>
      </w:pPr>
    </w:p>
    <w:p w:rsidR="0004415B" w:rsidRPr="004C6045" w:rsidRDefault="0004415B" w:rsidP="004C6045">
      <w:pPr>
        <w:rPr>
          <w:rFonts w:cs="Calibri"/>
          <w:bCs/>
          <w:color w:val="000000"/>
          <w:szCs w:val="22"/>
        </w:rPr>
      </w:pPr>
      <w:r w:rsidRPr="004C6045">
        <w:rPr>
          <w:rFonts w:cs="Calibri"/>
          <w:bCs/>
          <w:color w:val="000000"/>
          <w:szCs w:val="22"/>
        </w:rPr>
        <w:t xml:space="preserve">The team no-longer investigate noise from barking dogs.  Advise the complainant of </w:t>
      </w:r>
      <w:r w:rsidRPr="004C6045">
        <w:t>E</w:t>
      </w:r>
      <w:r>
        <w:t xml:space="preserve">nvironmental </w:t>
      </w:r>
      <w:r w:rsidRPr="004C6045">
        <w:t>P</w:t>
      </w:r>
      <w:r>
        <w:t xml:space="preserve">rotection </w:t>
      </w:r>
      <w:r w:rsidRPr="004C6045">
        <w:t>A</w:t>
      </w:r>
      <w:r>
        <w:t>ct</w:t>
      </w:r>
      <w:r w:rsidRPr="004C6045">
        <w:t xml:space="preserve"> 1990 </w:t>
      </w:r>
      <w:r w:rsidRPr="004C6045">
        <w:rPr>
          <w:rFonts w:cs="Calibri"/>
          <w:bCs/>
          <w:color w:val="000000"/>
          <w:szCs w:val="22"/>
        </w:rPr>
        <w:t>and taking their own action.  Offer to either email or post information to them.</w:t>
      </w:r>
    </w:p>
    <w:p w:rsidR="0004415B" w:rsidRPr="004C6045" w:rsidRDefault="0004415B" w:rsidP="004C6045">
      <w:pPr>
        <w:rPr>
          <w:rFonts w:cs="Calibri"/>
          <w:bCs/>
          <w:color w:val="000000"/>
          <w:szCs w:val="22"/>
        </w:rPr>
      </w:pPr>
    </w:p>
    <w:p w:rsidR="0004415B" w:rsidRPr="003D0995" w:rsidRDefault="0004415B" w:rsidP="004C6045">
      <w:pPr>
        <w:rPr>
          <w:rFonts w:cs="Calibri"/>
          <w:bCs/>
          <w:i/>
          <w:color w:val="000000"/>
          <w:szCs w:val="22"/>
          <w:u w:val="single"/>
        </w:rPr>
      </w:pPr>
      <w:r w:rsidRPr="003D0995">
        <w:rPr>
          <w:rFonts w:cs="Calibri"/>
          <w:bCs/>
          <w:i/>
          <w:color w:val="000000"/>
          <w:szCs w:val="22"/>
          <w:u w:val="single"/>
        </w:rPr>
        <w:t>Noise - Other Animals and Birds</w:t>
      </w:r>
    </w:p>
    <w:p w:rsidR="0004415B" w:rsidRPr="004C6045" w:rsidRDefault="0004415B" w:rsidP="004C6045">
      <w:pPr>
        <w:rPr>
          <w:rFonts w:cs="Calibri"/>
          <w:bCs/>
          <w:color w:val="000000"/>
          <w:szCs w:val="22"/>
        </w:rPr>
      </w:pPr>
    </w:p>
    <w:p w:rsidR="0004415B" w:rsidRDefault="0004415B" w:rsidP="004C6045">
      <w:pPr>
        <w:rPr>
          <w:rFonts w:cs="Calibri"/>
          <w:bCs/>
          <w:color w:val="000000"/>
          <w:szCs w:val="22"/>
        </w:rPr>
      </w:pPr>
      <w:r w:rsidRPr="004C6045">
        <w:rPr>
          <w:rFonts w:cs="Calibri"/>
          <w:bCs/>
          <w:color w:val="000000"/>
          <w:szCs w:val="22"/>
        </w:rPr>
        <w:t xml:space="preserve">The team no-longer investigate noise from animals or birds.  Advise the complainant of </w:t>
      </w:r>
      <w:r w:rsidRPr="004C6045">
        <w:t>E</w:t>
      </w:r>
      <w:r>
        <w:t xml:space="preserve">nvironmental </w:t>
      </w:r>
      <w:r w:rsidRPr="004C6045">
        <w:t>P</w:t>
      </w:r>
      <w:r>
        <w:t xml:space="preserve">rotection </w:t>
      </w:r>
      <w:r w:rsidRPr="004C6045">
        <w:t>A</w:t>
      </w:r>
      <w:r>
        <w:t>ct</w:t>
      </w:r>
      <w:r w:rsidRPr="004C6045">
        <w:t xml:space="preserve"> 1990 </w:t>
      </w:r>
      <w:r w:rsidRPr="004C6045">
        <w:rPr>
          <w:rFonts w:cs="Calibri"/>
          <w:bCs/>
          <w:color w:val="000000"/>
          <w:szCs w:val="22"/>
        </w:rPr>
        <w:t>and taking their own action.  Offer to either email or post information to them.</w:t>
      </w:r>
    </w:p>
    <w:p w:rsidR="0004415B" w:rsidRPr="004C6045" w:rsidRDefault="0004415B" w:rsidP="004C6045">
      <w:pPr>
        <w:rPr>
          <w:rFonts w:cs="Calibri"/>
          <w:bCs/>
          <w:color w:val="000000"/>
          <w:szCs w:val="22"/>
        </w:rPr>
      </w:pPr>
    </w:p>
    <w:p w:rsidR="0004415B" w:rsidRPr="003D0995" w:rsidRDefault="0004415B" w:rsidP="004C6045">
      <w:pPr>
        <w:rPr>
          <w:rFonts w:cs="Calibri"/>
          <w:bCs/>
          <w:i/>
          <w:color w:val="000000"/>
          <w:szCs w:val="22"/>
          <w:u w:val="single"/>
        </w:rPr>
      </w:pPr>
      <w:r w:rsidRPr="003D0995">
        <w:rPr>
          <w:rFonts w:cs="Calibri"/>
          <w:bCs/>
          <w:i/>
          <w:color w:val="000000"/>
          <w:szCs w:val="22"/>
          <w:u w:val="single"/>
        </w:rPr>
        <w:t>Noise - Bells (e.g. Church/Phone)</w:t>
      </w:r>
    </w:p>
    <w:p w:rsidR="0004415B" w:rsidRPr="003D0995" w:rsidRDefault="0004415B" w:rsidP="004C6045">
      <w:pPr>
        <w:rPr>
          <w:rFonts w:cs="Calibri"/>
          <w:bCs/>
          <w:i/>
          <w:color w:val="000000"/>
          <w:szCs w:val="22"/>
        </w:rPr>
      </w:pPr>
    </w:p>
    <w:p w:rsidR="0004415B" w:rsidRPr="004C6045" w:rsidRDefault="0004415B" w:rsidP="004C6045">
      <w:pPr>
        <w:rPr>
          <w:rFonts w:cs="Calibri"/>
          <w:bCs/>
          <w:color w:val="000000"/>
          <w:szCs w:val="22"/>
        </w:rPr>
      </w:pPr>
      <w:r w:rsidRPr="004C6045">
        <w:rPr>
          <w:rFonts w:cs="Calibri"/>
          <w:bCs/>
          <w:color w:val="000000"/>
          <w:szCs w:val="22"/>
        </w:rPr>
        <w:t xml:space="preserve">The team no-longer investigate noise from bells, other than from intruder/fire alarms that are ringing continuously.  Advise the complainant of </w:t>
      </w:r>
      <w:r w:rsidRPr="004C6045">
        <w:t>E</w:t>
      </w:r>
      <w:r>
        <w:t xml:space="preserve">nvironmental </w:t>
      </w:r>
      <w:r w:rsidRPr="004C6045">
        <w:t>P</w:t>
      </w:r>
      <w:r>
        <w:t xml:space="preserve">rotection </w:t>
      </w:r>
      <w:r w:rsidRPr="004C6045">
        <w:t>A</w:t>
      </w:r>
      <w:r>
        <w:t>ct</w:t>
      </w:r>
      <w:r w:rsidRPr="004C6045">
        <w:t xml:space="preserve"> 1990 </w:t>
      </w:r>
      <w:r w:rsidRPr="004C6045">
        <w:rPr>
          <w:rFonts w:cs="Calibri"/>
          <w:bCs/>
          <w:color w:val="000000"/>
          <w:szCs w:val="22"/>
        </w:rPr>
        <w:t>and taking their own action.  Offer to either email or post information to them.</w:t>
      </w:r>
    </w:p>
    <w:p w:rsidR="0004415B" w:rsidRPr="004C6045" w:rsidRDefault="0004415B" w:rsidP="004C6045">
      <w:pPr>
        <w:rPr>
          <w:rFonts w:cs="Calibri"/>
          <w:bCs/>
          <w:color w:val="000000"/>
          <w:szCs w:val="22"/>
        </w:rPr>
      </w:pPr>
    </w:p>
    <w:p w:rsidR="0004415B" w:rsidRPr="003D0995" w:rsidRDefault="0004415B" w:rsidP="004C6045">
      <w:pPr>
        <w:rPr>
          <w:rFonts w:cs="Calibri"/>
          <w:bCs/>
          <w:i/>
          <w:color w:val="000000"/>
          <w:szCs w:val="22"/>
        </w:rPr>
      </w:pPr>
      <w:r w:rsidRPr="003D0995">
        <w:rPr>
          <w:rFonts w:cs="Calibri"/>
          <w:bCs/>
          <w:i/>
          <w:color w:val="000000"/>
          <w:szCs w:val="22"/>
          <w:u w:val="single"/>
        </w:rPr>
        <w:t>Noise - Public Address Systems</w:t>
      </w:r>
    </w:p>
    <w:p w:rsidR="0004415B" w:rsidRPr="004C6045" w:rsidRDefault="0004415B" w:rsidP="004C6045">
      <w:pPr>
        <w:rPr>
          <w:rFonts w:cs="Calibri"/>
          <w:bCs/>
          <w:color w:val="000000"/>
          <w:szCs w:val="22"/>
        </w:rPr>
      </w:pPr>
    </w:p>
    <w:p w:rsidR="0004415B" w:rsidRPr="004C6045" w:rsidRDefault="0004415B" w:rsidP="004C6045">
      <w:pPr>
        <w:rPr>
          <w:rFonts w:cs="Calibri"/>
          <w:bCs/>
          <w:color w:val="000000"/>
          <w:szCs w:val="22"/>
        </w:rPr>
      </w:pPr>
      <w:r w:rsidRPr="004C6045">
        <w:rPr>
          <w:rFonts w:cs="Calibri"/>
          <w:bCs/>
          <w:color w:val="000000"/>
          <w:szCs w:val="22"/>
        </w:rPr>
        <w:t xml:space="preserve">The team no-longer investigate noise from public address systems, unless they are being used outside the hours of 07:00 – 23:00.  Advise the complainant of </w:t>
      </w:r>
      <w:r w:rsidRPr="004C6045">
        <w:t>E</w:t>
      </w:r>
      <w:r>
        <w:t xml:space="preserve">nvironmental </w:t>
      </w:r>
      <w:r w:rsidRPr="004C6045">
        <w:t>P</w:t>
      </w:r>
      <w:r>
        <w:t xml:space="preserve">rotection </w:t>
      </w:r>
      <w:r w:rsidRPr="004C6045">
        <w:t>A</w:t>
      </w:r>
      <w:r>
        <w:t>ct</w:t>
      </w:r>
      <w:r w:rsidRPr="004C6045">
        <w:t xml:space="preserve"> 1990 </w:t>
      </w:r>
      <w:r w:rsidRPr="004C6045">
        <w:rPr>
          <w:rFonts w:cs="Calibri"/>
          <w:bCs/>
          <w:color w:val="000000"/>
          <w:szCs w:val="22"/>
        </w:rPr>
        <w:t>and taking their own action.  Offer to either email or post information to them.</w:t>
      </w:r>
    </w:p>
    <w:p w:rsidR="0004415B" w:rsidRPr="004C6045" w:rsidRDefault="0004415B" w:rsidP="004C6045">
      <w:pPr>
        <w:rPr>
          <w:rFonts w:cs="Calibri"/>
          <w:bCs/>
          <w:color w:val="000000"/>
          <w:szCs w:val="22"/>
        </w:rPr>
      </w:pPr>
    </w:p>
    <w:p w:rsidR="0004415B" w:rsidRPr="003D0995" w:rsidRDefault="0004415B" w:rsidP="004C6045">
      <w:pPr>
        <w:rPr>
          <w:rFonts w:cs="Calibri"/>
          <w:bCs/>
          <w:i/>
          <w:color w:val="000000"/>
          <w:szCs w:val="22"/>
          <w:u w:val="single"/>
        </w:rPr>
      </w:pPr>
      <w:r w:rsidRPr="003D0995">
        <w:rPr>
          <w:rFonts w:cs="Calibri"/>
          <w:bCs/>
          <w:i/>
          <w:color w:val="000000"/>
          <w:szCs w:val="22"/>
          <w:u w:val="single"/>
        </w:rPr>
        <w:t>Nuisance - empty property</w:t>
      </w:r>
    </w:p>
    <w:p w:rsidR="0004415B" w:rsidRPr="004C6045" w:rsidRDefault="0004415B" w:rsidP="004C6045">
      <w:pPr>
        <w:rPr>
          <w:rFonts w:cs="Calibri"/>
          <w:bCs/>
          <w:color w:val="000000"/>
          <w:szCs w:val="22"/>
        </w:rPr>
      </w:pPr>
    </w:p>
    <w:p w:rsidR="0004415B" w:rsidRPr="004C6045" w:rsidRDefault="0004415B" w:rsidP="004C6045">
      <w:pPr>
        <w:rPr>
          <w:rFonts w:cs="Calibri"/>
          <w:bCs/>
          <w:color w:val="000000"/>
          <w:szCs w:val="22"/>
        </w:rPr>
      </w:pPr>
      <w:r w:rsidRPr="004C6045">
        <w:rPr>
          <w:rFonts w:cs="Calibri"/>
          <w:bCs/>
          <w:color w:val="000000"/>
          <w:szCs w:val="22"/>
        </w:rPr>
        <w:t>The team no longer investigates nuisance from empty properties, advise that they contact the Housing Market Support Team or if the property is directly affecting their property, such as a leaking roof to contact their insurance company.</w:t>
      </w:r>
    </w:p>
    <w:p w:rsidR="0004415B" w:rsidRPr="004C6045" w:rsidRDefault="0004415B" w:rsidP="004C6045">
      <w:pPr>
        <w:rPr>
          <w:rFonts w:cs="Calibri"/>
          <w:bCs/>
          <w:color w:val="000000"/>
          <w:szCs w:val="22"/>
        </w:rPr>
      </w:pPr>
    </w:p>
    <w:p w:rsidR="0004415B" w:rsidRPr="003D0995" w:rsidRDefault="0004415B" w:rsidP="004C6045">
      <w:pPr>
        <w:rPr>
          <w:rFonts w:cs="Calibri"/>
          <w:bCs/>
          <w:i/>
          <w:color w:val="000000"/>
          <w:szCs w:val="22"/>
          <w:u w:val="single"/>
        </w:rPr>
      </w:pPr>
      <w:r w:rsidRPr="003D0995">
        <w:rPr>
          <w:rFonts w:cs="Calibri"/>
          <w:bCs/>
          <w:i/>
          <w:color w:val="000000"/>
          <w:szCs w:val="22"/>
          <w:u w:val="single"/>
        </w:rPr>
        <w:t>Housing - general advice</w:t>
      </w:r>
    </w:p>
    <w:p w:rsidR="0004415B" w:rsidRPr="004C6045" w:rsidRDefault="0004415B" w:rsidP="004C6045">
      <w:pPr>
        <w:rPr>
          <w:rFonts w:cs="Calibri"/>
          <w:bCs/>
          <w:color w:val="000000"/>
          <w:szCs w:val="22"/>
        </w:rPr>
      </w:pPr>
    </w:p>
    <w:p w:rsidR="0004415B" w:rsidRPr="004C6045" w:rsidRDefault="0004415B" w:rsidP="004C6045">
      <w:pPr>
        <w:rPr>
          <w:rFonts w:cs="Calibri"/>
          <w:bCs/>
          <w:color w:val="000000"/>
          <w:szCs w:val="22"/>
        </w:rPr>
      </w:pPr>
      <w:r w:rsidRPr="004C6045">
        <w:rPr>
          <w:rFonts w:cs="Calibri"/>
          <w:bCs/>
          <w:color w:val="000000"/>
          <w:szCs w:val="22"/>
        </w:rPr>
        <w:t>Direct the complaint to the Housing Market Support Team</w:t>
      </w:r>
    </w:p>
    <w:p w:rsidR="0004415B" w:rsidRPr="004C6045" w:rsidRDefault="0004415B" w:rsidP="004C6045">
      <w:pPr>
        <w:rPr>
          <w:rFonts w:cs="Calibri"/>
          <w:bCs/>
          <w:color w:val="000000"/>
          <w:szCs w:val="22"/>
        </w:rPr>
      </w:pPr>
    </w:p>
    <w:p w:rsidR="0004415B" w:rsidRPr="003D0995" w:rsidRDefault="0004415B" w:rsidP="004C6045">
      <w:pPr>
        <w:rPr>
          <w:rFonts w:cs="Calibri"/>
          <w:bCs/>
          <w:i/>
          <w:color w:val="000000"/>
          <w:szCs w:val="22"/>
          <w:u w:val="single"/>
        </w:rPr>
      </w:pPr>
      <w:r w:rsidRPr="003D0995">
        <w:rPr>
          <w:rFonts w:cs="Calibri"/>
          <w:bCs/>
          <w:i/>
          <w:color w:val="000000"/>
          <w:szCs w:val="22"/>
          <w:u w:val="single"/>
        </w:rPr>
        <w:t>Drainage</w:t>
      </w:r>
    </w:p>
    <w:p w:rsidR="0004415B" w:rsidRPr="004C6045" w:rsidRDefault="0004415B" w:rsidP="004C6045">
      <w:pPr>
        <w:rPr>
          <w:rFonts w:cs="Calibri"/>
          <w:bCs/>
          <w:color w:val="000000"/>
          <w:szCs w:val="22"/>
        </w:rPr>
      </w:pPr>
    </w:p>
    <w:p w:rsidR="0004415B" w:rsidRPr="004C6045" w:rsidRDefault="0004415B" w:rsidP="004C6045">
      <w:pPr>
        <w:rPr>
          <w:rFonts w:cs="Calibri"/>
          <w:bCs/>
          <w:color w:val="000000"/>
          <w:szCs w:val="22"/>
          <w:u w:val="single"/>
        </w:rPr>
      </w:pPr>
      <w:r w:rsidRPr="004C6045">
        <w:rPr>
          <w:rFonts w:cs="Calibri"/>
          <w:bCs/>
          <w:color w:val="000000"/>
          <w:szCs w:val="22"/>
        </w:rPr>
        <w:t>The team no longer investigates complaints of above ground drainage.  Advise that they contact their insurance company if it is directly affecting their premises, or if it is from an empty property the Housing Market Support Team.</w:t>
      </w:r>
    </w:p>
    <w:p w:rsidR="0004415B" w:rsidRDefault="0004415B" w:rsidP="009D5ED9">
      <w:pPr>
        <w:tabs>
          <w:tab w:val="right" w:leader="underscore" w:pos="9072"/>
        </w:tabs>
      </w:pPr>
      <w:r>
        <w:tab/>
      </w:r>
    </w:p>
    <w:p w:rsidR="0004415B" w:rsidRDefault="0004415B" w:rsidP="009D5ED9">
      <w:pPr>
        <w:tabs>
          <w:tab w:val="right" w:leader="underscore" w:pos="9072"/>
        </w:tabs>
      </w:pPr>
    </w:p>
    <w:p w:rsidR="0004415B" w:rsidRDefault="0004415B" w:rsidP="00D63765">
      <w:pPr>
        <w:tabs>
          <w:tab w:val="left" w:pos="3150"/>
          <w:tab w:val="right" w:leader="underscore" w:pos="9072"/>
        </w:tabs>
        <w:outlineLvl w:val="0"/>
      </w:pPr>
      <w:r>
        <w:t>KEY COUNCIL POLICIES: Health, Poverty.</w:t>
      </w:r>
    </w:p>
    <w:p w:rsidR="0004415B" w:rsidRDefault="0004415B" w:rsidP="009D5ED9">
      <w:pPr>
        <w:tabs>
          <w:tab w:val="right" w:leader="underscore" w:pos="9072"/>
        </w:tabs>
      </w:pPr>
      <w:r>
        <w:tab/>
      </w:r>
    </w:p>
    <w:p w:rsidR="0004415B" w:rsidRDefault="0004415B" w:rsidP="009D5ED9">
      <w:pPr>
        <w:tabs>
          <w:tab w:val="right" w:leader="underscore" w:pos="9072"/>
        </w:tabs>
      </w:pPr>
    </w:p>
    <w:p w:rsidR="0004415B" w:rsidRPr="0042110D" w:rsidRDefault="0004415B" w:rsidP="00695042">
      <w:pPr>
        <w:tabs>
          <w:tab w:val="left" w:pos="6570"/>
          <w:tab w:val="right" w:leader="underscore" w:pos="9072"/>
        </w:tabs>
      </w:pPr>
      <w:r>
        <w:t xml:space="preserve">EQUALITY IMPACT ASSESSMENT AND IMPLICATIONS: - </w:t>
      </w:r>
      <w:r>
        <w:rPr>
          <w:color w:val="FF0000"/>
        </w:rPr>
        <w:t xml:space="preserve"> </w:t>
      </w:r>
      <w:r>
        <w:t>A screening assessment has been undertaken which indicates the proposals will not have any significant impact.</w:t>
      </w:r>
    </w:p>
    <w:p w:rsidR="0004415B" w:rsidRDefault="0004415B" w:rsidP="009D5ED9">
      <w:pPr>
        <w:tabs>
          <w:tab w:val="right" w:leader="underscore" w:pos="9072"/>
        </w:tabs>
      </w:pPr>
      <w:r>
        <w:tab/>
      </w:r>
    </w:p>
    <w:p w:rsidR="0004415B" w:rsidRDefault="0004415B" w:rsidP="009D5ED9">
      <w:pPr>
        <w:tabs>
          <w:tab w:val="right" w:leader="underscore" w:pos="9072"/>
        </w:tabs>
      </w:pPr>
    </w:p>
    <w:p w:rsidR="0004415B" w:rsidRDefault="0004415B" w:rsidP="00D63765">
      <w:pPr>
        <w:tabs>
          <w:tab w:val="left" w:pos="3060"/>
          <w:tab w:val="right" w:leader="underscore" w:pos="9072"/>
        </w:tabs>
        <w:outlineLvl w:val="0"/>
      </w:pPr>
      <w:r>
        <w:t xml:space="preserve">ASSESSMENT OF RISK:  Medium. The reduction in service provision could give rise to complaints to the Local Government Ombudsman that the City Council is not discharging its statutory duty to investigate complaints of nuisance. </w:t>
      </w:r>
    </w:p>
    <w:p w:rsidR="0004415B" w:rsidRDefault="0004415B" w:rsidP="009D5ED9">
      <w:pPr>
        <w:tabs>
          <w:tab w:val="right" w:leader="underscore" w:pos="9072"/>
        </w:tabs>
      </w:pPr>
      <w:r>
        <w:tab/>
      </w:r>
    </w:p>
    <w:p w:rsidR="0004415B" w:rsidRDefault="0004415B" w:rsidP="009D5ED9">
      <w:pPr>
        <w:tabs>
          <w:tab w:val="right" w:leader="underscore" w:pos="9072"/>
        </w:tabs>
      </w:pPr>
    </w:p>
    <w:p w:rsidR="0004415B" w:rsidRPr="00AA7370" w:rsidRDefault="0004415B" w:rsidP="00D63765">
      <w:pPr>
        <w:tabs>
          <w:tab w:val="left" w:pos="2970"/>
          <w:tab w:val="right" w:leader="underscore" w:pos="9072"/>
        </w:tabs>
        <w:outlineLvl w:val="0"/>
        <w:rPr>
          <w:color w:val="FF0000"/>
        </w:rPr>
      </w:pPr>
      <w:r>
        <w:t xml:space="preserve">SOURCE OF FUNDING: </w:t>
      </w:r>
      <w:r>
        <w:rPr>
          <w:color w:val="FF0000"/>
        </w:rPr>
        <w:t xml:space="preserve"> </w:t>
      </w:r>
      <w:r w:rsidRPr="0042110D">
        <w:t>N/A</w:t>
      </w:r>
      <w:r>
        <w:rPr>
          <w:color w:val="FF0000"/>
        </w:rPr>
        <w:t xml:space="preserve"> </w:t>
      </w:r>
    </w:p>
    <w:p w:rsidR="0004415B" w:rsidRDefault="0004415B" w:rsidP="009D5ED9">
      <w:pPr>
        <w:tabs>
          <w:tab w:val="right" w:leader="underscore" w:pos="9072"/>
        </w:tabs>
      </w:pPr>
      <w:r>
        <w:tab/>
      </w:r>
    </w:p>
    <w:p w:rsidR="0004415B" w:rsidRDefault="0004415B" w:rsidP="009D5ED9">
      <w:pPr>
        <w:tabs>
          <w:tab w:val="right" w:leader="underscore" w:pos="9072"/>
        </w:tabs>
      </w:pPr>
    </w:p>
    <w:p w:rsidR="0004415B" w:rsidRDefault="0004415B" w:rsidP="00084970">
      <w:pPr>
        <w:tabs>
          <w:tab w:val="left" w:pos="3060"/>
          <w:tab w:val="right" w:leader="underscore" w:pos="9072"/>
        </w:tabs>
        <w:outlineLvl w:val="0"/>
      </w:pPr>
      <w:r>
        <w:t xml:space="preserve">LEGAL IMPLICATIONS: Supplied by Ron Pennington. The reduction in service provision could give rise to complaints to the Local Government Ombudsman that the City Council is not discharging its statutory duty to investigate complaints of nuisance. </w:t>
      </w:r>
    </w:p>
    <w:p w:rsidR="0004415B" w:rsidRDefault="0004415B" w:rsidP="009D5ED9">
      <w:pPr>
        <w:tabs>
          <w:tab w:val="right" w:leader="underscore" w:pos="9072"/>
        </w:tabs>
      </w:pPr>
      <w:r>
        <w:tab/>
      </w:r>
    </w:p>
    <w:p w:rsidR="0004415B" w:rsidRDefault="0004415B" w:rsidP="009D5ED9">
      <w:pPr>
        <w:tabs>
          <w:tab w:val="right" w:leader="underscore" w:pos="9072"/>
        </w:tabs>
      </w:pPr>
    </w:p>
    <w:p w:rsidR="0004415B" w:rsidRPr="00AA7370" w:rsidRDefault="0004415B" w:rsidP="00353B04">
      <w:pPr>
        <w:tabs>
          <w:tab w:val="left" w:pos="4140"/>
          <w:tab w:val="right" w:leader="underscore" w:pos="9072"/>
        </w:tabs>
        <w:rPr>
          <w:color w:val="FF0000"/>
        </w:rPr>
      </w:pPr>
      <w:r>
        <w:t>FINANCIAL IMPLICATIONS: The Local Government Ombudsman has the power to award compensation in findings of maladministration.</w:t>
      </w:r>
    </w:p>
    <w:p w:rsidR="0004415B" w:rsidRDefault="0004415B" w:rsidP="009D5ED9">
      <w:pPr>
        <w:tabs>
          <w:tab w:val="right" w:leader="underscore" w:pos="9072"/>
        </w:tabs>
      </w:pPr>
      <w:r>
        <w:tab/>
      </w:r>
    </w:p>
    <w:p w:rsidR="0004415B" w:rsidRDefault="0004415B" w:rsidP="009D5ED9">
      <w:pPr>
        <w:tabs>
          <w:tab w:val="right" w:leader="underscore" w:pos="9072"/>
        </w:tabs>
      </w:pPr>
    </w:p>
    <w:p w:rsidR="0004415B" w:rsidRPr="00DB6F6E" w:rsidRDefault="0004415B" w:rsidP="00695042">
      <w:pPr>
        <w:tabs>
          <w:tab w:val="left" w:pos="4680"/>
          <w:tab w:val="right" w:leader="underscore" w:pos="9072"/>
        </w:tabs>
      </w:pPr>
      <w:r>
        <w:t>OTHER DIRECTORATES CONSULTED:</w:t>
      </w:r>
      <w:r>
        <w:rPr>
          <w:color w:val="FF0000"/>
        </w:rPr>
        <w:t xml:space="preserve"> </w:t>
      </w:r>
      <w:r w:rsidRPr="00DB6F6E">
        <w:t>Strategic Regeneration</w:t>
      </w:r>
    </w:p>
    <w:p w:rsidR="0004415B" w:rsidRDefault="0004415B" w:rsidP="009D5ED9">
      <w:pPr>
        <w:tabs>
          <w:tab w:val="right" w:leader="underscore" w:pos="9072"/>
        </w:tabs>
      </w:pPr>
      <w:r>
        <w:tab/>
      </w:r>
    </w:p>
    <w:p w:rsidR="0004415B" w:rsidRDefault="0004415B" w:rsidP="009D5ED9">
      <w:pPr>
        <w:tabs>
          <w:tab w:val="right" w:leader="underscore" w:pos="9072"/>
        </w:tabs>
      </w:pPr>
    </w:p>
    <w:p w:rsidR="0004415B" w:rsidRDefault="0004415B" w:rsidP="00D63765">
      <w:pPr>
        <w:tabs>
          <w:tab w:val="left" w:pos="2700"/>
          <w:tab w:val="left" w:pos="5040"/>
          <w:tab w:val="left" w:pos="6300"/>
          <w:tab w:val="right" w:leader="underscore" w:pos="9072"/>
        </w:tabs>
        <w:outlineLvl w:val="0"/>
      </w:pPr>
      <w:r>
        <w:t>CONTACT OFFICER: R Pennington</w:t>
      </w:r>
      <w:r>
        <w:tab/>
      </w:r>
      <w:r>
        <w:tab/>
        <w:t>TEL. NO: 925 1051</w:t>
      </w:r>
    </w:p>
    <w:p w:rsidR="0004415B" w:rsidRDefault="0004415B" w:rsidP="009D5ED9">
      <w:pPr>
        <w:tabs>
          <w:tab w:val="right" w:leader="underscore" w:pos="9072"/>
        </w:tabs>
      </w:pPr>
      <w:r>
        <w:tab/>
      </w:r>
    </w:p>
    <w:p w:rsidR="0004415B" w:rsidRDefault="0004415B" w:rsidP="009D5ED9">
      <w:pPr>
        <w:tabs>
          <w:tab w:val="right" w:leader="underscore" w:pos="9072"/>
        </w:tabs>
      </w:pPr>
    </w:p>
    <w:p w:rsidR="0004415B" w:rsidRDefault="0004415B" w:rsidP="00D63765">
      <w:pPr>
        <w:tabs>
          <w:tab w:val="left" w:pos="5130"/>
          <w:tab w:val="right" w:leader="underscore" w:pos="9072"/>
        </w:tabs>
        <w:outlineLvl w:val="0"/>
      </w:pPr>
      <w:r>
        <w:t>WARD(S) TO WHICH REPORT RELATE(S): All</w:t>
      </w:r>
    </w:p>
    <w:p w:rsidR="0004415B" w:rsidRDefault="0004415B" w:rsidP="009D5ED9">
      <w:pPr>
        <w:tabs>
          <w:tab w:val="right" w:leader="underscore" w:pos="9072"/>
        </w:tabs>
      </w:pPr>
      <w:r>
        <w:tab/>
      </w:r>
    </w:p>
    <w:p w:rsidR="0004415B" w:rsidRDefault="0004415B" w:rsidP="009D5ED9">
      <w:pPr>
        <w:tabs>
          <w:tab w:val="right" w:leader="underscore" w:pos="9072"/>
        </w:tabs>
      </w:pPr>
    </w:p>
    <w:p w:rsidR="0004415B" w:rsidRDefault="0004415B" w:rsidP="009D5ED9">
      <w:pPr>
        <w:tabs>
          <w:tab w:val="right" w:leader="underscore" w:pos="9072"/>
        </w:tabs>
      </w:pPr>
    </w:p>
    <w:p w:rsidR="0004415B" w:rsidRPr="004C7436" w:rsidRDefault="0004415B" w:rsidP="00D63765">
      <w:pPr>
        <w:tabs>
          <w:tab w:val="right" w:leader="underscore" w:pos="9072"/>
        </w:tabs>
        <w:outlineLvl w:val="0"/>
        <w:rPr>
          <w:b/>
        </w:rPr>
      </w:pPr>
      <w:r w:rsidRPr="004C7436">
        <w:rPr>
          <w:b/>
        </w:rPr>
        <w:t>AUTHORISATION:</w:t>
      </w:r>
    </w:p>
    <w:p w:rsidR="0004415B" w:rsidRDefault="0004415B" w:rsidP="009D5ED9">
      <w:pPr>
        <w:tabs>
          <w:tab w:val="right" w:leader="underscore" w:pos="9072"/>
        </w:tabs>
      </w:pPr>
    </w:p>
    <w:p w:rsidR="0004415B" w:rsidRDefault="0004415B" w:rsidP="009D5ED9">
      <w:pPr>
        <w:tabs>
          <w:tab w:val="right" w:leader="underscore"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1311"/>
        <w:gridCol w:w="3441"/>
      </w:tblGrid>
      <w:tr w:rsidR="0004415B" w:rsidTr="00DB74BC">
        <w:tc>
          <w:tcPr>
            <w:tcW w:w="4077" w:type="dxa"/>
          </w:tcPr>
          <w:p w:rsidR="0004415B" w:rsidRDefault="0004415B" w:rsidP="00DB74BC">
            <w:pPr>
              <w:tabs>
                <w:tab w:val="right" w:leader="underscore" w:pos="9072"/>
              </w:tabs>
            </w:pPr>
            <w:r w:rsidRPr="00DB74BC">
              <w:rPr>
                <w:b/>
              </w:rPr>
              <w:t xml:space="preserve">Approved by Assistant Director  </w:t>
            </w:r>
          </w:p>
        </w:tc>
        <w:tc>
          <w:tcPr>
            <w:tcW w:w="1311" w:type="dxa"/>
            <w:tcBorders>
              <w:right w:val="nil"/>
            </w:tcBorders>
          </w:tcPr>
          <w:p w:rsidR="0004415B" w:rsidRDefault="0004415B" w:rsidP="00DB74BC">
            <w:pPr>
              <w:tabs>
                <w:tab w:val="right" w:leader="underscore" w:pos="9072"/>
              </w:tabs>
            </w:pPr>
            <w:r>
              <w:t>Signature:</w:t>
            </w:r>
          </w:p>
          <w:p w:rsidR="0004415B" w:rsidRDefault="0004415B" w:rsidP="00DB74BC">
            <w:pPr>
              <w:tabs>
                <w:tab w:val="right" w:leader="underscore" w:pos="9072"/>
              </w:tabs>
            </w:pPr>
          </w:p>
          <w:p w:rsidR="0004415B" w:rsidRDefault="0004415B" w:rsidP="00DB74BC">
            <w:pPr>
              <w:tabs>
                <w:tab w:val="right" w:leader="underscore" w:pos="9072"/>
              </w:tabs>
            </w:pPr>
          </w:p>
          <w:p w:rsidR="0004415B" w:rsidRDefault="0004415B" w:rsidP="00DB74BC">
            <w:pPr>
              <w:tabs>
                <w:tab w:val="right" w:leader="underscore" w:pos="9072"/>
              </w:tabs>
            </w:pPr>
            <w:r>
              <w:t>Date:</w:t>
            </w:r>
          </w:p>
          <w:p w:rsidR="0004415B" w:rsidRDefault="0004415B" w:rsidP="00DB74BC">
            <w:pPr>
              <w:tabs>
                <w:tab w:val="right" w:leader="underscore" w:pos="9072"/>
              </w:tabs>
            </w:pPr>
          </w:p>
          <w:p w:rsidR="0004415B" w:rsidRDefault="0004415B" w:rsidP="00DB74BC">
            <w:pPr>
              <w:tabs>
                <w:tab w:val="right" w:leader="underscore" w:pos="9072"/>
              </w:tabs>
            </w:pPr>
          </w:p>
        </w:tc>
        <w:tc>
          <w:tcPr>
            <w:tcW w:w="3441" w:type="dxa"/>
            <w:tcBorders>
              <w:left w:val="nil"/>
            </w:tcBorders>
          </w:tcPr>
          <w:p w:rsidR="0004415B" w:rsidRDefault="0004415B" w:rsidP="00DB74BC">
            <w:pPr>
              <w:tabs>
                <w:tab w:val="right" w:leader="underscore" w:pos="9072"/>
              </w:tabs>
            </w:pPr>
          </w:p>
        </w:tc>
      </w:tr>
      <w:tr w:rsidR="0004415B" w:rsidTr="00DB74BC">
        <w:tc>
          <w:tcPr>
            <w:tcW w:w="4077" w:type="dxa"/>
          </w:tcPr>
          <w:p w:rsidR="0004415B" w:rsidRDefault="0004415B" w:rsidP="00DB74BC">
            <w:pPr>
              <w:tabs>
                <w:tab w:val="right" w:leader="underscore" w:pos="9072"/>
              </w:tabs>
            </w:pPr>
            <w:r w:rsidRPr="00DB74BC">
              <w:rPr>
                <w:b/>
              </w:rPr>
              <w:t>Approved by Strategic / Deputy Director</w:t>
            </w:r>
          </w:p>
        </w:tc>
        <w:tc>
          <w:tcPr>
            <w:tcW w:w="1311" w:type="dxa"/>
            <w:tcBorders>
              <w:right w:val="nil"/>
            </w:tcBorders>
          </w:tcPr>
          <w:p w:rsidR="0004415B" w:rsidRDefault="0004415B" w:rsidP="00DB74BC">
            <w:pPr>
              <w:tabs>
                <w:tab w:val="right" w:leader="underscore" w:pos="9072"/>
              </w:tabs>
            </w:pPr>
            <w:r>
              <w:t>Signature:</w:t>
            </w:r>
          </w:p>
          <w:p w:rsidR="0004415B" w:rsidRDefault="0004415B" w:rsidP="00DB74BC">
            <w:pPr>
              <w:tabs>
                <w:tab w:val="right" w:leader="underscore" w:pos="9072"/>
              </w:tabs>
            </w:pPr>
          </w:p>
          <w:p w:rsidR="0004415B" w:rsidRDefault="0004415B" w:rsidP="00DB74BC">
            <w:pPr>
              <w:tabs>
                <w:tab w:val="right" w:leader="underscore" w:pos="9072"/>
              </w:tabs>
            </w:pPr>
          </w:p>
          <w:p w:rsidR="0004415B" w:rsidRDefault="0004415B" w:rsidP="00DB74BC">
            <w:pPr>
              <w:tabs>
                <w:tab w:val="right" w:leader="underscore" w:pos="9072"/>
              </w:tabs>
            </w:pPr>
            <w:r>
              <w:t>Date:</w:t>
            </w:r>
          </w:p>
          <w:p w:rsidR="0004415B" w:rsidRDefault="0004415B" w:rsidP="00DB74BC">
            <w:pPr>
              <w:tabs>
                <w:tab w:val="right" w:leader="underscore" w:pos="9072"/>
              </w:tabs>
            </w:pPr>
          </w:p>
          <w:p w:rsidR="0004415B" w:rsidRDefault="0004415B" w:rsidP="00DB74BC">
            <w:pPr>
              <w:tabs>
                <w:tab w:val="right" w:leader="underscore" w:pos="9072"/>
              </w:tabs>
            </w:pPr>
          </w:p>
        </w:tc>
        <w:tc>
          <w:tcPr>
            <w:tcW w:w="3441" w:type="dxa"/>
            <w:tcBorders>
              <w:left w:val="nil"/>
            </w:tcBorders>
          </w:tcPr>
          <w:p w:rsidR="0004415B" w:rsidRDefault="0004415B" w:rsidP="00DB74BC">
            <w:pPr>
              <w:tabs>
                <w:tab w:val="right" w:leader="underscore" w:pos="9072"/>
              </w:tabs>
            </w:pPr>
          </w:p>
        </w:tc>
      </w:tr>
    </w:tbl>
    <w:p w:rsidR="0004415B" w:rsidRDefault="0004415B" w:rsidP="009D5ED9">
      <w:pPr>
        <w:tabs>
          <w:tab w:val="right" w:leader="underscore" w:pos="9072"/>
        </w:tabs>
      </w:pPr>
    </w:p>
    <w:p w:rsidR="0004415B" w:rsidRDefault="0004415B" w:rsidP="009D5ED9">
      <w:pPr>
        <w:tabs>
          <w:tab w:val="right" w:leader="underscore" w:pos="9072"/>
        </w:tabs>
      </w:pPr>
    </w:p>
    <w:p w:rsidR="0004415B" w:rsidRPr="009D5ED9" w:rsidRDefault="0004415B" w:rsidP="009D5ED9">
      <w:pPr>
        <w:tabs>
          <w:tab w:val="right" w:leader="underscore" w:pos="9072"/>
        </w:tabs>
      </w:pPr>
    </w:p>
    <w:sectPr w:rsidR="0004415B" w:rsidRPr="009D5ED9" w:rsidSect="004F07FC">
      <w:pgSz w:w="11906" w:h="16838"/>
      <w:pgMar w:top="1440" w:right="1440" w:bottom="1440" w:left="144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15B" w:rsidRDefault="0004415B">
      <w:r>
        <w:separator/>
      </w:r>
    </w:p>
  </w:endnote>
  <w:endnote w:type="continuationSeparator" w:id="0">
    <w:p w:rsidR="0004415B" w:rsidRDefault="000441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MT">
    <w:altName w:val="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15B" w:rsidRDefault="0004415B">
      <w:r>
        <w:separator/>
      </w:r>
    </w:p>
  </w:footnote>
  <w:footnote w:type="continuationSeparator" w:id="0">
    <w:p w:rsidR="0004415B" w:rsidRDefault="000441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4A5"/>
    <w:multiLevelType w:val="hybridMultilevel"/>
    <w:tmpl w:val="737CEA3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042540D3"/>
    <w:multiLevelType w:val="hybridMultilevel"/>
    <w:tmpl w:val="553090FA"/>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96B116F"/>
    <w:multiLevelType w:val="multilevel"/>
    <w:tmpl w:val="ED602330"/>
    <w:lvl w:ilvl="0">
      <w:numFmt w:val="decimal"/>
      <w:lvlText w:val="2.%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E5B5F1B"/>
    <w:multiLevelType w:val="hybridMultilevel"/>
    <w:tmpl w:val="C2E8EC0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866897"/>
    <w:multiLevelType w:val="hybridMultilevel"/>
    <w:tmpl w:val="92DA401E"/>
    <w:lvl w:ilvl="0" w:tplc="9E06BF5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F7D3565"/>
    <w:multiLevelType w:val="hybridMultilevel"/>
    <w:tmpl w:val="572214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5F2958"/>
    <w:multiLevelType w:val="hybridMultilevel"/>
    <w:tmpl w:val="EDD6E1A2"/>
    <w:lvl w:ilvl="0" w:tplc="F81E3994">
      <w:start w:val="1"/>
      <w:numFmt w:val="decimal"/>
      <w:lvlText w:val="1.%1"/>
      <w:lvlJc w:val="left"/>
      <w:pPr>
        <w:tabs>
          <w:tab w:val="num" w:pos="567"/>
        </w:tabs>
        <w:ind w:left="567"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7883493"/>
    <w:multiLevelType w:val="hybridMultilevel"/>
    <w:tmpl w:val="7660A4D8"/>
    <w:lvl w:ilvl="0" w:tplc="F738EC24">
      <w:numFmt w:val="decimal"/>
      <w:lvlText w:val="3.%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4683D45"/>
    <w:multiLevelType w:val="multilevel"/>
    <w:tmpl w:val="9BE8AECE"/>
    <w:lvl w:ilvl="0">
      <w:start w:val="1"/>
      <w:numFmt w:val="decimal"/>
      <w:lvlText w:val="%1"/>
      <w:lvlJc w:val="left"/>
      <w:pPr>
        <w:tabs>
          <w:tab w:val="num" w:pos="360"/>
        </w:tabs>
        <w:ind w:left="360" w:hanging="360"/>
      </w:pPr>
      <w:rPr>
        <w:rFonts w:cs="Arial" w:hint="default"/>
      </w:rPr>
    </w:lvl>
    <w:lvl w:ilvl="1">
      <w:start w:val="2"/>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9">
    <w:nsid w:val="49172971"/>
    <w:multiLevelType w:val="hybridMultilevel"/>
    <w:tmpl w:val="1854BBF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4ED465D5"/>
    <w:multiLevelType w:val="hybridMultilevel"/>
    <w:tmpl w:val="25104258"/>
    <w:lvl w:ilvl="0" w:tplc="8E9C65AC">
      <w:numFmt w:val="decimal"/>
      <w:lvlText w:val="2.%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525E3043"/>
    <w:multiLevelType w:val="hybridMultilevel"/>
    <w:tmpl w:val="8BB062B6"/>
    <w:lvl w:ilvl="0" w:tplc="0809001B">
      <w:start w:val="1"/>
      <w:numFmt w:val="lowerRoman"/>
      <w:lvlText w:val="%1."/>
      <w:lvlJc w:val="right"/>
      <w:pPr>
        <w:ind w:left="765" w:hanging="360"/>
      </w:pPr>
      <w:rPr>
        <w:rFonts w:cs="Times New Roman"/>
      </w:rPr>
    </w:lvl>
    <w:lvl w:ilvl="1" w:tplc="08090019" w:tentative="1">
      <w:start w:val="1"/>
      <w:numFmt w:val="lowerLetter"/>
      <w:lvlText w:val="%2."/>
      <w:lvlJc w:val="left"/>
      <w:pPr>
        <w:ind w:left="1485" w:hanging="360"/>
      </w:pPr>
      <w:rPr>
        <w:rFonts w:cs="Times New Roman"/>
      </w:rPr>
    </w:lvl>
    <w:lvl w:ilvl="2" w:tplc="0809001B" w:tentative="1">
      <w:start w:val="1"/>
      <w:numFmt w:val="lowerRoman"/>
      <w:lvlText w:val="%3."/>
      <w:lvlJc w:val="right"/>
      <w:pPr>
        <w:ind w:left="2205" w:hanging="180"/>
      </w:pPr>
      <w:rPr>
        <w:rFonts w:cs="Times New Roman"/>
      </w:rPr>
    </w:lvl>
    <w:lvl w:ilvl="3" w:tplc="0809000F" w:tentative="1">
      <w:start w:val="1"/>
      <w:numFmt w:val="decimal"/>
      <w:lvlText w:val="%4."/>
      <w:lvlJc w:val="left"/>
      <w:pPr>
        <w:ind w:left="2925" w:hanging="360"/>
      </w:pPr>
      <w:rPr>
        <w:rFonts w:cs="Times New Roman"/>
      </w:rPr>
    </w:lvl>
    <w:lvl w:ilvl="4" w:tplc="08090019" w:tentative="1">
      <w:start w:val="1"/>
      <w:numFmt w:val="lowerLetter"/>
      <w:lvlText w:val="%5."/>
      <w:lvlJc w:val="left"/>
      <w:pPr>
        <w:ind w:left="3645" w:hanging="360"/>
      </w:pPr>
      <w:rPr>
        <w:rFonts w:cs="Times New Roman"/>
      </w:rPr>
    </w:lvl>
    <w:lvl w:ilvl="5" w:tplc="0809001B" w:tentative="1">
      <w:start w:val="1"/>
      <w:numFmt w:val="lowerRoman"/>
      <w:lvlText w:val="%6."/>
      <w:lvlJc w:val="right"/>
      <w:pPr>
        <w:ind w:left="4365" w:hanging="180"/>
      </w:pPr>
      <w:rPr>
        <w:rFonts w:cs="Times New Roman"/>
      </w:rPr>
    </w:lvl>
    <w:lvl w:ilvl="6" w:tplc="0809000F" w:tentative="1">
      <w:start w:val="1"/>
      <w:numFmt w:val="decimal"/>
      <w:lvlText w:val="%7."/>
      <w:lvlJc w:val="left"/>
      <w:pPr>
        <w:ind w:left="5085" w:hanging="360"/>
      </w:pPr>
      <w:rPr>
        <w:rFonts w:cs="Times New Roman"/>
      </w:rPr>
    </w:lvl>
    <w:lvl w:ilvl="7" w:tplc="08090019" w:tentative="1">
      <w:start w:val="1"/>
      <w:numFmt w:val="lowerLetter"/>
      <w:lvlText w:val="%8."/>
      <w:lvlJc w:val="left"/>
      <w:pPr>
        <w:ind w:left="5805" w:hanging="360"/>
      </w:pPr>
      <w:rPr>
        <w:rFonts w:cs="Times New Roman"/>
      </w:rPr>
    </w:lvl>
    <w:lvl w:ilvl="8" w:tplc="0809001B" w:tentative="1">
      <w:start w:val="1"/>
      <w:numFmt w:val="lowerRoman"/>
      <w:lvlText w:val="%9."/>
      <w:lvlJc w:val="right"/>
      <w:pPr>
        <w:ind w:left="6525" w:hanging="180"/>
      </w:pPr>
      <w:rPr>
        <w:rFonts w:cs="Times New Roman"/>
      </w:rPr>
    </w:lvl>
  </w:abstractNum>
  <w:abstractNum w:abstractNumId="12">
    <w:nsid w:val="52B523C4"/>
    <w:multiLevelType w:val="hybridMultilevel"/>
    <w:tmpl w:val="B8286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11004B"/>
    <w:multiLevelType w:val="hybridMultilevel"/>
    <w:tmpl w:val="FA7E3616"/>
    <w:lvl w:ilvl="0" w:tplc="27AC79F2">
      <w:numFmt w:val="decimal"/>
      <w:lvlText w:val="1.%1"/>
      <w:lvlJc w:val="left"/>
      <w:pPr>
        <w:tabs>
          <w:tab w:val="num" w:pos="567"/>
        </w:tabs>
        <w:ind w:left="567"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95F6C19"/>
    <w:multiLevelType w:val="multilevel"/>
    <w:tmpl w:val="924271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59C05F33"/>
    <w:multiLevelType w:val="hybridMultilevel"/>
    <w:tmpl w:val="C7C8D142"/>
    <w:lvl w:ilvl="0" w:tplc="F496B3F0">
      <w:numFmt w:val="decimal"/>
      <w:lvlText w:val="4.%1"/>
      <w:lvlJc w:val="left"/>
      <w:pPr>
        <w:tabs>
          <w:tab w:val="num" w:pos="567"/>
        </w:tabs>
        <w:ind w:left="567"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5D4F7382"/>
    <w:multiLevelType w:val="multilevel"/>
    <w:tmpl w:val="39A6F4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DC472D6"/>
    <w:multiLevelType w:val="hybridMultilevel"/>
    <w:tmpl w:val="679A17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59A6B8E"/>
    <w:multiLevelType w:val="hybridMultilevel"/>
    <w:tmpl w:val="F6B4E348"/>
    <w:lvl w:ilvl="0" w:tplc="8E9C65AC">
      <w:numFmt w:val="decimal"/>
      <w:lvlText w:val="2.%1"/>
      <w:lvlJc w:val="left"/>
      <w:pPr>
        <w:tabs>
          <w:tab w:val="num" w:pos="567"/>
        </w:tabs>
        <w:ind w:left="567" w:hanging="567"/>
      </w:pPr>
      <w:rPr>
        <w:rFonts w:cs="Times New Roman" w:hint="default"/>
      </w:rPr>
    </w:lvl>
    <w:lvl w:ilvl="1" w:tplc="5BC61F42">
      <w:numFmt w:val="decimal"/>
      <w:lvlText w:val="3.%2"/>
      <w:lvlJc w:val="left"/>
      <w:pPr>
        <w:tabs>
          <w:tab w:val="num" w:pos="567"/>
        </w:tabs>
        <w:ind w:left="567" w:hanging="567"/>
      </w:pPr>
      <w:rPr>
        <w:rFonts w:cs="Times New Roman" w:hint="default"/>
      </w:rPr>
    </w:lvl>
    <w:lvl w:ilvl="2" w:tplc="62C6B68A">
      <w:numFmt w:val="decimal"/>
      <w:lvlText w:val="4.%3"/>
      <w:lvlJc w:val="left"/>
      <w:pPr>
        <w:tabs>
          <w:tab w:val="num" w:pos="567"/>
        </w:tabs>
        <w:ind w:left="567" w:hanging="567"/>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7F343FE0"/>
    <w:multiLevelType w:val="hybridMultilevel"/>
    <w:tmpl w:val="563E23E8"/>
    <w:lvl w:ilvl="0" w:tplc="8E9C65AC">
      <w:numFmt w:val="decimal"/>
      <w:lvlText w:val="2.%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2"/>
  </w:num>
  <w:num w:numId="2">
    <w:abstractNumId w:val="4"/>
  </w:num>
  <w:num w:numId="3">
    <w:abstractNumId w:val="16"/>
  </w:num>
  <w:num w:numId="4">
    <w:abstractNumId w:val="8"/>
  </w:num>
  <w:num w:numId="5">
    <w:abstractNumId w:val="14"/>
  </w:num>
  <w:num w:numId="6">
    <w:abstractNumId w:val="6"/>
  </w:num>
  <w:num w:numId="7">
    <w:abstractNumId w:val="18"/>
  </w:num>
  <w:num w:numId="8">
    <w:abstractNumId w:val="13"/>
  </w:num>
  <w:num w:numId="9">
    <w:abstractNumId w:val="2"/>
  </w:num>
  <w:num w:numId="10">
    <w:abstractNumId w:val="3"/>
  </w:num>
  <w:num w:numId="11">
    <w:abstractNumId w:val="15"/>
  </w:num>
  <w:num w:numId="12">
    <w:abstractNumId w:val="11"/>
  </w:num>
  <w:num w:numId="13">
    <w:abstractNumId w:val="10"/>
  </w:num>
  <w:num w:numId="14">
    <w:abstractNumId w:val="0"/>
  </w:num>
  <w:num w:numId="15">
    <w:abstractNumId w:val="19"/>
  </w:num>
  <w:num w:numId="16">
    <w:abstractNumId w:val="7"/>
  </w:num>
  <w:num w:numId="17">
    <w:abstractNumId w:val="1"/>
  </w:num>
  <w:num w:numId="18">
    <w:abstractNumId w:val="17"/>
  </w:num>
  <w:num w:numId="19">
    <w:abstractNumId w:val="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333F"/>
    <w:rsid w:val="00007D30"/>
    <w:rsid w:val="00011477"/>
    <w:rsid w:val="00033D0B"/>
    <w:rsid w:val="0004415B"/>
    <w:rsid w:val="00051AB5"/>
    <w:rsid w:val="00052D1C"/>
    <w:rsid w:val="00054EE2"/>
    <w:rsid w:val="00075B58"/>
    <w:rsid w:val="00084970"/>
    <w:rsid w:val="000A2937"/>
    <w:rsid w:val="000C08BE"/>
    <w:rsid w:val="000D1A40"/>
    <w:rsid w:val="0017649D"/>
    <w:rsid w:val="0019690F"/>
    <w:rsid w:val="001C5127"/>
    <w:rsid w:val="001D7E67"/>
    <w:rsid w:val="001E376A"/>
    <w:rsid w:val="001E78AC"/>
    <w:rsid w:val="00227B29"/>
    <w:rsid w:val="00284747"/>
    <w:rsid w:val="00287CBB"/>
    <w:rsid w:val="002A4417"/>
    <w:rsid w:val="002C3719"/>
    <w:rsid w:val="002F5FBA"/>
    <w:rsid w:val="00353B04"/>
    <w:rsid w:val="00364908"/>
    <w:rsid w:val="0037383A"/>
    <w:rsid w:val="003B107E"/>
    <w:rsid w:val="003B259D"/>
    <w:rsid w:val="003D0995"/>
    <w:rsid w:val="0041333F"/>
    <w:rsid w:val="0042110D"/>
    <w:rsid w:val="004263EC"/>
    <w:rsid w:val="00430E00"/>
    <w:rsid w:val="00431875"/>
    <w:rsid w:val="004621C8"/>
    <w:rsid w:val="004718AA"/>
    <w:rsid w:val="0048532B"/>
    <w:rsid w:val="0049148F"/>
    <w:rsid w:val="004A0AAF"/>
    <w:rsid w:val="004A7F84"/>
    <w:rsid w:val="004C6045"/>
    <w:rsid w:val="004C6A89"/>
    <w:rsid w:val="004C7436"/>
    <w:rsid w:val="004F07FC"/>
    <w:rsid w:val="004F5BB9"/>
    <w:rsid w:val="005000B0"/>
    <w:rsid w:val="00507B95"/>
    <w:rsid w:val="00541B7B"/>
    <w:rsid w:val="00550043"/>
    <w:rsid w:val="00555FF5"/>
    <w:rsid w:val="00573BC9"/>
    <w:rsid w:val="005C2058"/>
    <w:rsid w:val="005C23EF"/>
    <w:rsid w:val="005C7982"/>
    <w:rsid w:val="005F1F8E"/>
    <w:rsid w:val="0061046E"/>
    <w:rsid w:val="00620971"/>
    <w:rsid w:val="00652C57"/>
    <w:rsid w:val="00655023"/>
    <w:rsid w:val="00695042"/>
    <w:rsid w:val="006A5841"/>
    <w:rsid w:val="006C2411"/>
    <w:rsid w:val="006D4E19"/>
    <w:rsid w:val="006E4096"/>
    <w:rsid w:val="00741DCD"/>
    <w:rsid w:val="00751869"/>
    <w:rsid w:val="00752235"/>
    <w:rsid w:val="00762E91"/>
    <w:rsid w:val="00785D90"/>
    <w:rsid w:val="007A4D3D"/>
    <w:rsid w:val="007A58BA"/>
    <w:rsid w:val="007B38F3"/>
    <w:rsid w:val="007D12D7"/>
    <w:rsid w:val="00806EBF"/>
    <w:rsid w:val="008112BD"/>
    <w:rsid w:val="00822E13"/>
    <w:rsid w:val="008235C6"/>
    <w:rsid w:val="008A4E29"/>
    <w:rsid w:val="008A751B"/>
    <w:rsid w:val="008E6448"/>
    <w:rsid w:val="009268F6"/>
    <w:rsid w:val="00973278"/>
    <w:rsid w:val="00987E40"/>
    <w:rsid w:val="00990566"/>
    <w:rsid w:val="009D5ED9"/>
    <w:rsid w:val="009E4619"/>
    <w:rsid w:val="009E4C34"/>
    <w:rsid w:val="009F30C7"/>
    <w:rsid w:val="009F4268"/>
    <w:rsid w:val="00A0099A"/>
    <w:rsid w:val="00A014FE"/>
    <w:rsid w:val="00A029A7"/>
    <w:rsid w:val="00A251BE"/>
    <w:rsid w:val="00A326FD"/>
    <w:rsid w:val="00A34666"/>
    <w:rsid w:val="00A452DE"/>
    <w:rsid w:val="00A56DC3"/>
    <w:rsid w:val="00A662CE"/>
    <w:rsid w:val="00A835C8"/>
    <w:rsid w:val="00AA7370"/>
    <w:rsid w:val="00AC582A"/>
    <w:rsid w:val="00AE0707"/>
    <w:rsid w:val="00B37FA9"/>
    <w:rsid w:val="00B547F0"/>
    <w:rsid w:val="00BE3CFF"/>
    <w:rsid w:val="00C354C3"/>
    <w:rsid w:val="00C6135C"/>
    <w:rsid w:val="00C8218C"/>
    <w:rsid w:val="00C84887"/>
    <w:rsid w:val="00C85EB1"/>
    <w:rsid w:val="00CD7AFF"/>
    <w:rsid w:val="00CE6C4F"/>
    <w:rsid w:val="00D41941"/>
    <w:rsid w:val="00D63765"/>
    <w:rsid w:val="00D83FB1"/>
    <w:rsid w:val="00D87EB6"/>
    <w:rsid w:val="00D971F0"/>
    <w:rsid w:val="00DB6F6E"/>
    <w:rsid w:val="00DB74BC"/>
    <w:rsid w:val="00DC14FC"/>
    <w:rsid w:val="00DD15C6"/>
    <w:rsid w:val="00E26266"/>
    <w:rsid w:val="00E33691"/>
    <w:rsid w:val="00E3576B"/>
    <w:rsid w:val="00E56858"/>
    <w:rsid w:val="00E67BD5"/>
    <w:rsid w:val="00E76F62"/>
    <w:rsid w:val="00E911BB"/>
    <w:rsid w:val="00E968C4"/>
    <w:rsid w:val="00EA0386"/>
    <w:rsid w:val="00EC31E7"/>
    <w:rsid w:val="00ED2178"/>
    <w:rsid w:val="00F317B1"/>
    <w:rsid w:val="00F35FA3"/>
    <w:rsid w:val="00F6293D"/>
    <w:rsid w:val="00F6747F"/>
    <w:rsid w:val="00F70B6D"/>
    <w:rsid w:val="00F73C80"/>
    <w:rsid w:val="00F9203C"/>
    <w:rsid w:val="00F94424"/>
    <w:rsid w:val="00F96D51"/>
    <w:rsid w:val="00FA6F6F"/>
    <w:rsid w:val="00FD0C0A"/>
    <w:rsid w:val="00FD224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7FC"/>
    <w:rPr>
      <w:rFonts w:ascii="Arial" w:hAnsi="Arial"/>
      <w:sz w:val="24"/>
      <w:szCs w:val="20"/>
      <w:lang w:eastAsia="en-US"/>
    </w:rPr>
  </w:style>
  <w:style w:type="paragraph" w:styleId="Heading1">
    <w:name w:val="heading 1"/>
    <w:basedOn w:val="Normal"/>
    <w:next w:val="Normal"/>
    <w:link w:val="Heading1Char"/>
    <w:uiPriority w:val="99"/>
    <w:qFormat/>
    <w:rsid w:val="004F07FC"/>
    <w:pPr>
      <w:keepNext/>
      <w:ind w:left="720" w:hanging="720"/>
      <w:outlineLvl w:val="0"/>
    </w:pPr>
    <w:rPr>
      <w:u w:val="single"/>
    </w:rPr>
  </w:style>
  <w:style w:type="paragraph" w:styleId="Heading2">
    <w:name w:val="heading 2"/>
    <w:basedOn w:val="Normal"/>
    <w:next w:val="Normal"/>
    <w:link w:val="Heading2Char"/>
    <w:uiPriority w:val="99"/>
    <w:qFormat/>
    <w:rsid w:val="004F07FC"/>
    <w:pPr>
      <w:keepNext/>
      <w:outlineLvl w:val="1"/>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2AE"/>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C62AE"/>
    <w:rPr>
      <w:rFonts w:asciiTheme="majorHAnsi" w:eastAsiaTheme="majorEastAsia" w:hAnsiTheme="majorHAnsi" w:cstheme="majorBidi"/>
      <w:b/>
      <w:bCs/>
      <w:i/>
      <w:iCs/>
      <w:sz w:val="28"/>
      <w:szCs w:val="28"/>
      <w:lang w:eastAsia="en-US"/>
    </w:rPr>
  </w:style>
  <w:style w:type="paragraph" w:styleId="Header">
    <w:name w:val="header"/>
    <w:basedOn w:val="Normal"/>
    <w:link w:val="HeaderChar"/>
    <w:uiPriority w:val="99"/>
    <w:rsid w:val="004F07FC"/>
    <w:pPr>
      <w:tabs>
        <w:tab w:val="center" w:pos="4153"/>
        <w:tab w:val="right" w:pos="8306"/>
      </w:tabs>
    </w:pPr>
  </w:style>
  <w:style w:type="character" w:customStyle="1" w:styleId="HeaderChar">
    <w:name w:val="Header Char"/>
    <w:basedOn w:val="DefaultParagraphFont"/>
    <w:link w:val="Header"/>
    <w:uiPriority w:val="99"/>
    <w:semiHidden/>
    <w:rsid w:val="00AC62AE"/>
    <w:rPr>
      <w:rFonts w:ascii="Arial" w:hAnsi="Arial"/>
      <w:sz w:val="24"/>
      <w:szCs w:val="20"/>
      <w:lang w:eastAsia="en-US"/>
    </w:rPr>
  </w:style>
  <w:style w:type="paragraph" w:styleId="Footer">
    <w:name w:val="footer"/>
    <w:basedOn w:val="Normal"/>
    <w:link w:val="FooterChar"/>
    <w:uiPriority w:val="99"/>
    <w:rsid w:val="004F07FC"/>
    <w:pPr>
      <w:tabs>
        <w:tab w:val="center" w:pos="4153"/>
        <w:tab w:val="right" w:pos="8306"/>
      </w:tabs>
    </w:pPr>
  </w:style>
  <w:style w:type="character" w:customStyle="1" w:styleId="FooterChar">
    <w:name w:val="Footer Char"/>
    <w:basedOn w:val="DefaultParagraphFont"/>
    <w:link w:val="Footer"/>
    <w:uiPriority w:val="99"/>
    <w:semiHidden/>
    <w:rsid w:val="00AC62AE"/>
    <w:rPr>
      <w:rFonts w:ascii="Arial" w:hAnsi="Arial"/>
      <w:sz w:val="24"/>
      <w:szCs w:val="20"/>
      <w:lang w:eastAsia="en-US"/>
    </w:rPr>
  </w:style>
  <w:style w:type="table" w:styleId="TableGrid">
    <w:name w:val="Table Grid"/>
    <w:basedOn w:val="TableNormal"/>
    <w:uiPriority w:val="99"/>
    <w:rsid w:val="009D5E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30C7"/>
    <w:rPr>
      <w:rFonts w:ascii="Tahoma" w:hAnsi="Tahoma" w:cs="Tahoma"/>
      <w:sz w:val="16"/>
      <w:szCs w:val="16"/>
    </w:rPr>
  </w:style>
  <w:style w:type="character" w:customStyle="1" w:styleId="BalloonTextChar">
    <w:name w:val="Balloon Text Char"/>
    <w:basedOn w:val="DefaultParagraphFont"/>
    <w:link w:val="BalloonText"/>
    <w:uiPriority w:val="99"/>
    <w:semiHidden/>
    <w:rsid w:val="00AC62AE"/>
    <w:rPr>
      <w:sz w:val="0"/>
      <w:szCs w:val="0"/>
      <w:lang w:eastAsia="en-US"/>
    </w:rPr>
  </w:style>
  <w:style w:type="paragraph" w:styleId="DocumentMap">
    <w:name w:val="Document Map"/>
    <w:basedOn w:val="Normal"/>
    <w:link w:val="DocumentMapChar"/>
    <w:uiPriority w:val="99"/>
    <w:semiHidden/>
    <w:rsid w:val="00D6376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AC62AE"/>
    <w:rPr>
      <w:sz w:val="0"/>
      <w:szCs w:val="0"/>
      <w:lang w:eastAsia="en-US"/>
    </w:rPr>
  </w:style>
  <w:style w:type="paragraph" w:styleId="ListParagraph">
    <w:name w:val="List Paragraph"/>
    <w:basedOn w:val="Normal"/>
    <w:uiPriority w:val="99"/>
    <w:qFormat/>
    <w:rsid w:val="00550043"/>
    <w:pPr>
      <w:ind w:left="720"/>
    </w:pPr>
  </w:style>
  <w:style w:type="paragraph" w:customStyle="1" w:styleId="Pa0">
    <w:name w:val="Pa0"/>
    <w:basedOn w:val="Normal"/>
    <w:next w:val="Normal"/>
    <w:uiPriority w:val="99"/>
    <w:rsid w:val="00F35FA3"/>
    <w:pPr>
      <w:autoSpaceDE w:val="0"/>
      <w:autoSpaceDN w:val="0"/>
      <w:adjustRightInd w:val="0"/>
      <w:spacing w:line="241" w:lineRule="atLeast"/>
    </w:pPr>
    <w:rPr>
      <w:rFonts w:ascii="Garamond MT" w:hAnsi="Garamond MT"/>
      <w:szCs w:val="24"/>
      <w:lang w:eastAsia="en-GB"/>
    </w:rPr>
  </w:style>
  <w:style w:type="character" w:customStyle="1" w:styleId="A3">
    <w:name w:val="A3"/>
    <w:uiPriority w:val="99"/>
    <w:rsid w:val="00F35FA3"/>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1196</Words>
  <Characters>6818</Characters>
  <Application>Microsoft Office Outlook</Application>
  <DocSecurity>0</DocSecurity>
  <Lines>0</Lines>
  <Paragraphs>0</Paragraphs>
  <ScaleCrop>false</ScaleCrop>
  <Company>city of salford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Pat Taylor</dc:creator>
  <cp:keywords/>
  <dc:description/>
  <cp:lastModifiedBy>csecmrelph</cp:lastModifiedBy>
  <cp:revision>2</cp:revision>
  <cp:lastPrinted>2011-01-07T14:54:00Z</cp:lastPrinted>
  <dcterms:created xsi:type="dcterms:W3CDTF">2011-12-01T14:07:00Z</dcterms:created>
  <dcterms:modified xsi:type="dcterms:W3CDTF">2011-12-01T14:07:00Z</dcterms:modified>
</cp:coreProperties>
</file>